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44"/>
          <w:szCs w:val="44"/>
        </w:r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鹤山市</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2022年涉农统筹整合转移支付</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区域绩效自评报告</w:t>
      </w: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p>
    <w:p>
      <w:pPr>
        <w:jc w:val="left"/>
        <w:rPr>
          <w:rFonts w:ascii="仿宋_GB2312" w:hAnsi="仿宋_GB2312" w:eastAsia="仿宋_GB2312" w:cs="仿宋_GB2312"/>
          <w:sz w:val="32"/>
          <w:szCs w:val="32"/>
        </w:rPr>
      </w:pPr>
    </w:p>
    <w:p>
      <w:pPr>
        <w:ind w:left="3517" w:leftChars="608" w:hanging="2240" w:hangingChars="700"/>
        <w:jc w:val="left"/>
        <w:rPr>
          <w:rFonts w:ascii="仿宋_GB2312" w:hAnsi="仿宋_GB2312" w:eastAsia="仿宋_GB2312" w:cs="仿宋_GB2312"/>
          <w:sz w:val="30"/>
          <w:szCs w:val="30"/>
        </w:rPr>
      </w:pPr>
      <w:r>
        <w:rPr>
          <w:rFonts w:hint="eastAsia" w:ascii="仿宋_GB2312" w:hAnsi="仿宋_GB2312" w:eastAsia="仿宋_GB2312" w:cs="仿宋_GB2312"/>
          <w:sz w:val="32"/>
          <w:szCs w:val="32"/>
        </w:rPr>
        <w:t>填报单位名称：鹤山市涉农资金统筹整合领导小组办公室</w:t>
      </w:r>
      <w:r>
        <w:rPr>
          <w:rFonts w:hint="eastAsia" w:ascii="仿宋_GB2312" w:eastAsia="仿宋_GB2312"/>
          <w:sz w:val="32"/>
          <w:szCs w:val="32"/>
        </w:rPr>
        <w:t>（鹤山市财政局代章）</w:t>
      </w:r>
    </w:p>
    <w:p>
      <w:pPr>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填报人：周舟</w:t>
      </w:r>
    </w:p>
    <w:p>
      <w:pPr>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联系电话：8812350</w:t>
      </w:r>
    </w:p>
    <w:p>
      <w:pPr>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填报日期：2023年3月14日</w:t>
      </w:r>
    </w:p>
    <w:p>
      <w:pPr>
        <w:spacing w:line="540" w:lineRule="exact"/>
        <w:ind w:firstLine="640" w:firstLineChars="200"/>
        <w:jc w:val="left"/>
        <w:rPr>
          <w:rFonts w:ascii="仿宋_GB2312" w:hAnsi="仿宋_GB2312" w:eastAsia="仿宋_GB2312" w:cs="仿宋_GB2312"/>
          <w:sz w:val="32"/>
          <w:szCs w:val="32"/>
        </w:rPr>
      </w:pPr>
      <w:r>
        <w:rPr>
          <w:rFonts w:ascii="仿宋_GB2312" w:hAnsi="仿宋_GB2312" w:eastAsia="仿宋_GB2312" w:cs="仿宋_GB2312"/>
          <w:sz w:val="32"/>
          <w:szCs w:val="32"/>
        </w:rPr>
        <w:br w:type="page"/>
      </w:r>
      <w:r>
        <w:rPr>
          <w:rFonts w:hint="eastAsia" w:ascii="黑体" w:hAnsi="黑体" w:eastAsia="黑体" w:cs="黑体"/>
          <w:sz w:val="32"/>
          <w:szCs w:val="32"/>
        </w:rPr>
        <w:t>一、涉农资金统筹整合组织实施整体情况</w:t>
      </w:r>
    </w:p>
    <w:p>
      <w:pPr>
        <w:spacing w:line="540" w:lineRule="exact"/>
        <w:ind w:firstLine="640" w:firstLineChars="200"/>
        <w:rPr>
          <w:rFonts w:ascii="仿宋_GB2312" w:hAnsi="Times New Roman" w:eastAsia="仿宋_GB2312"/>
          <w:sz w:val="32"/>
          <w:szCs w:val="32"/>
        </w:rPr>
      </w:pPr>
      <w:r>
        <w:rPr>
          <w:rFonts w:hint="eastAsia" w:ascii="仿宋_GB2312" w:hAnsi="Times New Roman" w:eastAsia="仿宋_GB2312"/>
          <w:sz w:val="32"/>
          <w:szCs w:val="32"/>
        </w:rPr>
        <w:t>2022年，我市认真贯彻落实省涉农资金统筹整合改革会议精神，贯彻落实《鹤山市涉农资金管理办法（试行）》（鹤涉农办〔2021〕1号）和《鹤山市涉农资金统筹整合小组工作规则》，并于12月14日召开鹤山市涉农统筹整合领导小组会议，坚持统筹谋划，突出重点，集中力量干大事，积极推进涉农资金统筹整合改革向纵深发展，助力我市乡村振兴战略实施。</w:t>
      </w:r>
    </w:p>
    <w:p>
      <w:pPr>
        <w:snapToGrid w:val="0"/>
        <w:spacing w:line="540" w:lineRule="exact"/>
        <w:ind w:firstLine="640" w:firstLineChars="200"/>
        <w:outlineLvl w:val="0"/>
        <w:rPr>
          <w:rFonts w:ascii="仿宋_GB2312" w:hAnsi="仿宋" w:eastAsia="仿宋_GB2312" w:cs="宋体"/>
          <w:sz w:val="32"/>
          <w:szCs w:val="32"/>
        </w:rPr>
      </w:pPr>
      <w:r>
        <w:rPr>
          <w:rFonts w:hint="eastAsia" w:ascii="仿宋_GB2312" w:hAnsi="仿宋" w:eastAsia="仿宋_GB2312"/>
          <w:sz w:val="32"/>
          <w:szCs w:val="32"/>
        </w:rPr>
        <w:t>2022年，我市省级考核事项共</w:t>
      </w:r>
      <w:r>
        <w:rPr>
          <w:rFonts w:ascii="仿宋_GB2312" w:hAnsi="仿宋" w:eastAsia="仿宋_GB2312"/>
          <w:sz w:val="32"/>
          <w:szCs w:val="32"/>
        </w:rPr>
        <w:t>1</w:t>
      </w:r>
      <w:r>
        <w:rPr>
          <w:rFonts w:hint="eastAsia" w:ascii="仿宋_GB2312" w:hAnsi="仿宋" w:eastAsia="仿宋_GB2312"/>
          <w:sz w:val="32"/>
          <w:szCs w:val="32"/>
        </w:rPr>
        <w:t>6项，安排投入资金25,362.07</w:t>
      </w:r>
      <w:r>
        <w:rPr>
          <w:rFonts w:ascii="仿宋_GB2312" w:hAnsi="仿宋" w:eastAsia="仿宋_GB2312"/>
          <w:sz w:val="32"/>
          <w:szCs w:val="32"/>
        </w:rPr>
        <w:t>万元，其中</w:t>
      </w:r>
      <w:r>
        <w:rPr>
          <w:rFonts w:hint="eastAsia" w:ascii="仿宋_GB2312" w:hAnsi="仿宋" w:eastAsia="仿宋_GB2312"/>
          <w:sz w:val="32"/>
          <w:szCs w:val="32"/>
        </w:rPr>
        <w:t>，</w:t>
      </w:r>
      <w:r>
        <w:rPr>
          <w:rFonts w:ascii="仿宋_GB2312" w:hAnsi="仿宋" w:eastAsia="仿宋_GB2312"/>
          <w:sz w:val="32"/>
          <w:szCs w:val="32"/>
        </w:rPr>
        <w:t>中央资金</w:t>
      </w:r>
      <w:r>
        <w:rPr>
          <w:rFonts w:hint="eastAsia" w:ascii="仿宋_GB2312" w:hAnsi="仿宋" w:eastAsia="仿宋_GB2312"/>
          <w:sz w:val="32"/>
          <w:szCs w:val="32"/>
        </w:rPr>
        <w:t>5,684.12</w:t>
      </w:r>
      <w:r>
        <w:rPr>
          <w:rFonts w:ascii="仿宋_GB2312" w:hAnsi="仿宋" w:eastAsia="仿宋_GB2312"/>
          <w:sz w:val="32"/>
          <w:szCs w:val="32"/>
        </w:rPr>
        <w:t>万元</w:t>
      </w:r>
      <w:r>
        <w:rPr>
          <w:rFonts w:hint="eastAsia" w:ascii="仿宋_GB2312" w:hAnsi="仿宋" w:eastAsia="仿宋_GB2312"/>
          <w:sz w:val="32"/>
          <w:szCs w:val="32"/>
        </w:rPr>
        <w:t>，省级资金</w:t>
      </w:r>
      <w:r>
        <w:rPr>
          <w:rFonts w:hint="eastAsia" w:ascii="仿宋_GB2312" w:hAnsi="仿宋_GB2312" w:eastAsia="仿宋_GB2312" w:cs="仿宋_GB2312"/>
          <w:sz w:val="32"/>
          <w:szCs w:val="32"/>
        </w:rPr>
        <w:t>5,594.02</w:t>
      </w:r>
      <w:r>
        <w:rPr>
          <w:rFonts w:hint="eastAsia" w:ascii="仿宋_GB2312" w:hAnsi="仿宋" w:eastAsia="仿宋_GB2312"/>
          <w:sz w:val="32"/>
          <w:szCs w:val="32"/>
        </w:rPr>
        <w:t>万元，相关市、县级资金4,563.72</w:t>
      </w:r>
      <w:r>
        <w:rPr>
          <w:rFonts w:ascii="仿宋_GB2312" w:hAnsi="仿宋" w:eastAsia="仿宋_GB2312"/>
          <w:sz w:val="32"/>
          <w:szCs w:val="32"/>
        </w:rPr>
        <w:t>万元</w:t>
      </w:r>
      <w:r>
        <w:rPr>
          <w:rFonts w:hint="eastAsia" w:ascii="仿宋_GB2312" w:hAnsi="仿宋" w:eastAsia="仿宋_GB2312"/>
          <w:sz w:val="32"/>
          <w:szCs w:val="32"/>
        </w:rPr>
        <w:t>，其他</w:t>
      </w:r>
      <w:r>
        <w:rPr>
          <w:rFonts w:ascii="仿宋_GB2312" w:hAnsi="仿宋" w:eastAsia="仿宋_GB2312"/>
          <w:sz w:val="32"/>
          <w:szCs w:val="32"/>
        </w:rPr>
        <w:t>资金</w:t>
      </w:r>
      <w:r>
        <w:rPr>
          <w:rFonts w:hint="eastAsia" w:ascii="仿宋_GB2312" w:hAnsi="仿宋" w:eastAsia="仿宋_GB2312"/>
          <w:sz w:val="32"/>
          <w:szCs w:val="32"/>
        </w:rPr>
        <w:t>9,520.21</w:t>
      </w:r>
      <w:r>
        <w:rPr>
          <w:rFonts w:ascii="仿宋_GB2312" w:hAnsi="仿宋" w:eastAsia="仿宋_GB2312"/>
          <w:sz w:val="32"/>
          <w:szCs w:val="32"/>
        </w:rPr>
        <w:t>万元。我市在保障完成考核任务目标的前提下，按照集中力量办大事的原则，统筹</w:t>
      </w:r>
      <w:r>
        <w:rPr>
          <w:rFonts w:hint="eastAsia" w:ascii="仿宋_GB2312" w:hAnsi="仿宋" w:eastAsia="仿宋_GB2312"/>
          <w:sz w:val="32"/>
          <w:szCs w:val="32"/>
        </w:rPr>
        <w:t>整合各级涉农资金用于我市重点开展的水利工程建设、政策性农业保险、高标准农田建设和“四好农村路”建设（养护）项目。一是统筹各级涉农资金12,625万元推进江门市鹤山市水系连通及水美乡村建设试点县项目－（江门市西江潭江流域跨界支流综合治理工程一期EPC+O项目），其中，中央级资金3,000万元、省级涉农资金2,500万元、市级涉农资金125万元、专项债7,000万元。二是统筹各级涉农资金2,808.06万元推进农污三期、农污四期（生活污水设施建设）项目，其中，中央级资金0万元、市级资金71.77万元、本级资金216.08万元、社会资本2,520.21万元。三是统筹各级涉农资金1,757.88万元推进实施政策性农业保险项目，其中，中央资金788万元、市级资金422万元、本级资金547.88万元。四是统筹各级涉农资金1,599.7万元推进鹤山市高标准农田建设项目，其中，中央资金1,084.2万元、省级资金458万元、本级资金57.5万元。五是</w:t>
      </w:r>
      <w:r>
        <w:rPr>
          <w:rFonts w:hint="eastAsia" w:ascii="仿宋_GB2312" w:hAnsi="Times New Roman" w:eastAsia="仿宋_GB2312"/>
          <w:sz w:val="32"/>
          <w:szCs w:val="32"/>
        </w:rPr>
        <w:t>统筹各级涉农资金1,177.28万元推进</w:t>
      </w:r>
      <w:r>
        <w:rPr>
          <w:rFonts w:hint="eastAsia" w:ascii="仿宋_GB2312" w:hAnsi="仿宋" w:eastAsia="仿宋_GB2312"/>
          <w:sz w:val="32"/>
          <w:szCs w:val="32"/>
        </w:rPr>
        <w:t>鹤山</w:t>
      </w:r>
      <w:r>
        <w:rPr>
          <w:rFonts w:hint="eastAsia" w:ascii="仿宋_GB2312" w:hAnsi="仿宋" w:eastAsia="仿宋_GB2312" w:cs="宋体"/>
          <w:sz w:val="32"/>
          <w:szCs w:val="32"/>
        </w:rPr>
        <w:t>市“四好农村路”建设（养护）项目</w:t>
      </w:r>
      <w:r>
        <w:rPr>
          <w:rFonts w:hint="eastAsia" w:ascii="仿宋_GB2312" w:hAnsi="Times New Roman" w:eastAsia="仿宋_GB2312"/>
          <w:sz w:val="32"/>
          <w:szCs w:val="32"/>
        </w:rPr>
        <w:t>，其中，省级资金862.28万元、市级资金315万元、本级资金0万元。</w:t>
      </w:r>
    </w:p>
    <w:p>
      <w:pPr>
        <w:spacing w:line="540" w:lineRule="exact"/>
        <w:ind w:firstLine="640" w:firstLineChars="200"/>
        <w:rPr>
          <w:rFonts w:ascii="黑体" w:hAnsi="黑体" w:eastAsia="黑体" w:cs="黑体"/>
          <w:sz w:val="32"/>
          <w:szCs w:val="32"/>
        </w:rPr>
      </w:pPr>
      <w:r>
        <w:rPr>
          <w:rFonts w:hint="eastAsia" w:ascii="黑体" w:hAnsi="黑体" w:eastAsia="黑体" w:cs="黑体"/>
          <w:sz w:val="32"/>
          <w:szCs w:val="32"/>
        </w:rPr>
        <w:t>二、涉农资金预算及区域绩效目标分解下达情况</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2022年，省级共下达我市涉农统筹整合资金5,594.02万元，考核工作任务目标</w:t>
      </w:r>
      <w:r>
        <w:rPr>
          <w:rFonts w:ascii="仿宋_GB2312" w:hAnsi="仿宋_GB2312" w:eastAsia="仿宋_GB2312" w:cs="仿宋_GB2312"/>
          <w:sz w:val="32"/>
          <w:szCs w:val="32"/>
        </w:rPr>
        <w:t xml:space="preserve"> 1</w:t>
      </w:r>
      <w:r>
        <w:rPr>
          <w:rFonts w:hint="eastAsia" w:ascii="仿宋_GB2312" w:hAnsi="仿宋_GB2312" w:eastAsia="仿宋_GB2312" w:cs="仿宋_GB2312"/>
          <w:sz w:val="32"/>
          <w:szCs w:val="32"/>
        </w:rPr>
        <w:t>6</w:t>
      </w:r>
      <w:r>
        <w:rPr>
          <w:rFonts w:ascii="仿宋_GB2312" w:hAnsi="仿宋_GB2312" w:eastAsia="仿宋_GB2312" w:cs="仿宋_GB2312"/>
          <w:sz w:val="32"/>
          <w:szCs w:val="32"/>
        </w:rPr>
        <w:t>项</w:t>
      </w:r>
      <w:r>
        <w:rPr>
          <w:rFonts w:hint="eastAsia" w:ascii="仿宋_GB2312" w:hAnsi="仿宋_GB2312" w:eastAsia="仿宋_GB2312" w:cs="仿宋_GB2312"/>
          <w:sz w:val="32"/>
          <w:szCs w:val="32"/>
        </w:rPr>
        <w:t>，其中，2021年1</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月3</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日收到省级涉农资金5,049万元，202</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年4月</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日收到省级涉农资金59万元。</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收到省级资金后，鹤山市涉农资金统筹整合领导小组办公室召开会议审议并原则通过全市资金分配方案（即拟实施项目明细）、区域绩效目标。按照审议结果，鹤山市涉农办于</w:t>
      </w:r>
      <w:r>
        <w:rPr>
          <w:rFonts w:ascii="仿宋_GB2312" w:hAnsi="仿宋_GB2312" w:eastAsia="仿宋_GB2312" w:cs="仿宋_GB2312"/>
          <w:sz w:val="32"/>
          <w:szCs w:val="32"/>
        </w:rPr>
        <w:t>2021年12月</w:t>
      </w:r>
      <w:r>
        <w:rPr>
          <w:rFonts w:hint="eastAsia" w:ascii="仿宋_GB2312" w:hAnsi="仿宋_GB2312" w:eastAsia="仿宋_GB2312" w:cs="仿宋_GB2312"/>
          <w:sz w:val="32"/>
          <w:szCs w:val="32"/>
        </w:rPr>
        <w:t>13日向市级报送了资金分配方案（即拟实施项目明细）和区域绩效目标。</w:t>
      </w:r>
    </w:p>
    <w:p>
      <w:pPr>
        <w:spacing w:line="540" w:lineRule="exact"/>
        <w:ind w:firstLine="640"/>
        <w:jc w:val="left"/>
        <w:rPr>
          <w:rFonts w:ascii="黑体" w:hAnsi="黑体" w:eastAsia="黑体" w:cs="黑体"/>
          <w:sz w:val="32"/>
          <w:szCs w:val="32"/>
        </w:rPr>
      </w:pPr>
      <w:r>
        <w:rPr>
          <w:rFonts w:hint="eastAsia" w:ascii="黑体" w:hAnsi="黑体" w:eastAsia="黑体" w:cs="黑体"/>
          <w:sz w:val="32"/>
          <w:szCs w:val="32"/>
        </w:rPr>
        <w:t>三、绩效目标完成情况分析</w:t>
      </w:r>
    </w:p>
    <w:p>
      <w:pPr>
        <w:spacing w:line="540" w:lineRule="exact"/>
        <w:ind w:firstLine="640"/>
        <w:jc w:val="left"/>
        <w:rPr>
          <w:rFonts w:ascii="仿宋_GB2312" w:hAnsi="仿宋_GB2312" w:eastAsia="仿宋_GB2312" w:cs="仿宋_GB2312"/>
          <w:sz w:val="32"/>
          <w:szCs w:val="32"/>
        </w:rPr>
      </w:pPr>
      <w:r>
        <w:rPr>
          <w:rFonts w:hint="eastAsia" w:ascii="楷体_GB2312" w:hAnsi="楷体_GB2312" w:eastAsia="楷体_GB2312" w:cs="楷体_GB2312"/>
          <w:bCs/>
          <w:sz w:val="32"/>
          <w:szCs w:val="32"/>
        </w:rPr>
        <w:t>（一）资金投入情况分析</w:t>
      </w:r>
      <w:r>
        <w:rPr>
          <w:rFonts w:hint="eastAsia" w:ascii="仿宋_GB2312" w:hAnsi="仿宋_GB2312" w:eastAsia="仿宋_GB2312" w:cs="仿宋_GB2312"/>
          <w:bCs/>
          <w:sz w:val="32"/>
          <w:szCs w:val="32"/>
        </w:rPr>
        <w:t>（各级资金投入情况、资金执行情况以及资金管理相关情况等）</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2022年，我市共统筹整合各级涉农资金</w:t>
      </w:r>
      <w:r>
        <w:rPr>
          <w:rFonts w:hint="eastAsia" w:ascii="仿宋_GB2312" w:hAnsi="仿宋" w:eastAsia="仿宋_GB2312"/>
          <w:sz w:val="32"/>
          <w:szCs w:val="32"/>
        </w:rPr>
        <w:t>25,362.07</w:t>
      </w:r>
      <w:r>
        <w:rPr>
          <w:rFonts w:hint="eastAsia" w:ascii="仿宋_GB2312" w:hAnsi="仿宋_GB2312" w:eastAsia="仿宋_GB2312" w:cs="仿宋_GB2312"/>
          <w:sz w:val="32"/>
          <w:szCs w:val="32"/>
        </w:rPr>
        <w:t>万元支持16个涉农资金项目，其中：省级涉农资金5,594.02万元，与省级涉农资金共同投入到同一项目或政策的中央资金</w:t>
      </w:r>
      <w:r>
        <w:rPr>
          <w:rFonts w:hint="eastAsia" w:ascii="仿宋_GB2312" w:hAnsi="仿宋" w:eastAsia="仿宋_GB2312"/>
          <w:sz w:val="32"/>
          <w:szCs w:val="32"/>
        </w:rPr>
        <w:t>5,684.12</w:t>
      </w:r>
      <w:r>
        <w:rPr>
          <w:rFonts w:hint="eastAsia" w:ascii="仿宋_GB2312" w:hAnsi="仿宋_GB2312" w:eastAsia="仿宋_GB2312" w:cs="仿宋_GB2312"/>
          <w:sz w:val="32"/>
          <w:szCs w:val="32"/>
        </w:rPr>
        <w:t>万元，市、县级资金</w:t>
      </w:r>
      <w:r>
        <w:rPr>
          <w:rFonts w:hint="eastAsia" w:ascii="仿宋_GB2312" w:hAnsi="仿宋" w:eastAsia="仿宋_GB2312"/>
          <w:sz w:val="32"/>
          <w:szCs w:val="32"/>
        </w:rPr>
        <w:t>4,563.72</w:t>
      </w:r>
      <w:r>
        <w:rPr>
          <w:rFonts w:hint="eastAsia" w:ascii="仿宋_GB2312" w:hAnsi="仿宋_GB2312" w:eastAsia="仿宋_GB2312" w:cs="仿宋_GB2312"/>
          <w:sz w:val="32"/>
          <w:szCs w:val="32"/>
        </w:rPr>
        <w:t>万元，其他资金9,520.21万元。</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截至2022年12月31日，各级涉农资金共支出24,308.13万元，预算执行率为95.84%，其中：中央资金</w:t>
      </w:r>
      <w:r>
        <w:rPr>
          <w:rFonts w:hint="eastAsia" w:ascii="仿宋_GB2312" w:hAnsi="仿宋" w:eastAsia="仿宋_GB2312"/>
          <w:sz w:val="32"/>
          <w:szCs w:val="32"/>
        </w:rPr>
        <w:t>5,684.08</w:t>
      </w:r>
      <w:r>
        <w:rPr>
          <w:rFonts w:hint="eastAsia" w:ascii="仿宋_GB2312" w:hAnsi="仿宋_GB2312" w:eastAsia="仿宋_GB2312" w:cs="仿宋_GB2312"/>
          <w:sz w:val="32"/>
          <w:szCs w:val="32"/>
        </w:rPr>
        <w:t>万元，执行率100%；省级涉农资金5,139.49万元，执行率91.87%；市、县级资金3,964.35万元，执行率86.87%；其他资金9,520.21万元，执行率100%。</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2022年12月31日，我市有3项考核项未能100%形成实际支出，主要原因如下：一是“农业生产能力提升”考核项受项目实际进展情况影响，无法在2022年形成支出。2022年9月，省级涉农资金下达334.88万元专项用于撂荒耕地复耕复种奖补资金，根据江门市农业农村局2022年11月22日印发的《转发省农业农村厅关于认真做好省撂荒耕地复耕复种奖补资金使用工作的通知》要求，结合我市实际，鹤山市农业农村局拟定《鹤山市2022年撂荒耕地复耕复种奖补资金实施方案》，经市人民政府审批同意后，于2022年12月13日印发到各镇（街），要求根据方案配合做好撂荒耕地复耕复种奖补工作，确保完成上级下达的可复耕撂荒耕地复耕复种任务。截至2023年2月末，各镇（街）正在加紧整理省撂荒耕地复耕复种奖补资金申报材料，包括组织复耕复种实施主体签订《鹤山市撂荒耕地复耕复种奖补承诺书》，填写《撂荒地复耕整治明细表》，并进行撂荒耕地复耕复种奖补登记清册公示等工作。二是“高标准农田建设</w:t>
      </w:r>
      <w:bookmarkStart w:id="1" w:name="_GoBack"/>
      <w:bookmarkEnd w:id="1"/>
      <w:r>
        <w:rPr>
          <w:rFonts w:hint="eastAsia" w:ascii="仿宋_GB2312" w:hAnsi="仿宋_GB2312" w:eastAsia="仿宋_GB2312" w:cs="仿宋_GB2312"/>
          <w:sz w:val="32"/>
          <w:szCs w:val="32"/>
        </w:rPr>
        <w:t>”考核项省级涉农资金下达458万元（结余64.78万元），涉及的3个项目已基本完工，正在进行验收准备工作，根据合同规定，工程质保金未到期支付。三是“四好农村路”建设涉农资金共下达988.934万元（其中省级资金813.934万元、江门市级175万元（结余49.16万元）），因部分工程属于跨年度实施项目，在安排项目资金时未考虑项目实施进度和实际资金需求，超额安排预算，导致部分上级补助资金无法在2022年形成支出。</w:t>
      </w:r>
    </w:p>
    <w:p>
      <w:pPr>
        <w:spacing w:line="540" w:lineRule="exact"/>
        <w:ind w:firstLine="640"/>
        <w:jc w:val="left"/>
        <w:rPr>
          <w:rFonts w:ascii="仿宋_GB2312" w:hAnsi="仿宋_GB2312" w:eastAsia="仿宋_GB2312" w:cs="仿宋_GB2312"/>
          <w:sz w:val="32"/>
          <w:szCs w:val="32"/>
        </w:rPr>
      </w:pPr>
      <w:r>
        <w:rPr>
          <w:rFonts w:hint="eastAsia" w:ascii="楷体_GB2312" w:hAnsi="楷体_GB2312" w:eastAsia="楷体_GB2312" w:cs="楷体_GB2312"/>
          <w:bCs/>
          <w:sz w:val="32"/>
          <w:szCs w:val="32"/>
        </w:rPr>
        <w:t>（二）项目实施情况</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2022年度，我市共实施涉农资金项目134个，市涉农办分别组织和指导同级主管部门，对照项目年度绩效目标开展了项目绩效自评。根据项目绩效自评结果，134个项目基本完成了项目年度绩效目标。各类一级项目中：</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1.村庄基础设施建设。</w:t>
      </w:r>
      <w:r>
        <w:rPr>
          <w:rFonts w:hint="eastAsia" w:ascii="仿宋_GB2312" w:hAnsi="仿宋_GB2312" w:eastAsia="仿宋_GB2312" w:cs="仿宋_GB2312"/>
          <w:sz w:val="32"/>
          <w:szCs w:val="32"/>
        </w:rPr>
        <w:t>共实施76个项目，其中已完成项目74个。实施项目中，74个项目基本完成了项目年度绩效目标。总体上，通过改造沙坪街道旧渔村侧风貌带，鼓励村民合理规划、利用房前屋后闲置土地和“三清三拆”清理出来的土地打造“四小园”（小菜园、小果园、小花园、小公园）等行动，推动乡村振兴提档升级，加快沙坪街道坡山村委会村庄风貌和公共基础设施改造提升，高质量建设宜居宜业和美乡村，持续推进农村人居环境整治提升，解决农村杂草丛生、杂物乱堆放、家禽散养等难题。</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2.农田建设及管护。</w:t>
      </w:r>
      <w:r>
        <w:rPr>
          <w:rFonts w:hint="eastAsia" w:ascii="仿宋_GB2312" w:hAnsi="仿宋_GB2312" w:eastAsia="仿宋_GB2312" w:cs="仿宋_GB2312"/>
          <w:sz w:val="32"/>
          <w:szCs w:val="32"/>
        </w:rPr>
        <w:t>共实施3个项目，其中已完成项目3个。实施项目中，3个项目基本完成了项目年度绩效目标。总体上，建成0.8万亩高标准农田并建立高标准农田（含垦造水田）长效管护机制，大大缓解了项目区过去灌水难、排水难、耕作难、行路难的问题，完善了项目区基础设施建设，同时通过实施秸秆还田、施用有机肥等措施，提升了项目区内的耕地质量，为耕作提供了更有利的条件。</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3.动植物疫病防控。</w:t>
      </w:r>
      <w:r>
        <w:rPr>
          <w:rFonts w:hint="eastAsia" w:ascii="仿宋_GB2312" w:hAnsi="仿宋_GB2312" w:eastAsia="仿宋_GB2312" w:cs="仿宋_GB2312"/>
          <w:sz w:val="32"/>
          <w:szCs w:val="32"/>
        </w:rPr>
        <w:t>共实施1个项目，其中已完成项目1个。实施项目中，1个项目基本完成了项目年度绩效目标。总体上，完成强化动物疫病防控中强制免疫病种应免畜禽的免疫密度100%、平均免疫抗体合格率</w:t>
      </w:r>
      <w:r>
        <w:rPr>
          <w:rFonts w:ascii="仿宋_GB2312" w:hAnsi="仿宋_GB2312" w:eastAsia="仿宋_GB2312" w:cs="仿宋_GB2312"/>
          <w:sz w:val="32"/>
          <w:szCs w:val="32"/>
        </w:rPr>
        <w:t>87.04%，未发生大规模随意抛弃病死猪事件，屠宰环节病死猪无害化处理补助902头、屠宰环节病死猪100%进行无害化处理。2022年度未发生重大动物疫情，未发生大规模随意抛弃病死猪</w:t>
      </w:r>
      <w:r>
        <w:rPr>
          <w:rFonts w:hint="eastAsia" w:ascii="仿宋_GB2312" w:hAnsi="仿宋_GB2312" w:eastAsia="仿宋_GB2312" w:cs="仿宋_GB2312"/>
          <w:sz w:val="32"/>
          <w:szCs w:val="32"/>
        </w:rPr>
        <w:t>事件，开展屠宰环节生猪无害化处理补助项目有效保障了生猪养殖业疫病防控和杜绝病害猪肉产品流入市场，保障百姓的肉产品质量安全和社会稳定。</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4.政策性农业保险省级财政保费补贴。</w:t>
      </w:r>
      <w:r>
        <w:rPr>
          <w:rFonts w:hint="eastAsia" w:ascii="仿宋_GB2312" w:hAnsi="仿宋_GB2312" w:eastAsia="仿宋_GB2312" w:cs="仿宋_GB2312"/>
          <w:sz w:val="32"/>
          <w:szCs w:val="32"/>
        </w:rPr>
        <w:t>共实施1个项目，其中已完成1个项目。通过宣传发动政策性农业保险，实现政策性农业保险（不含农房、水稻）各个险种承保覆盖率分别不低于上年水平，加强我市农业生产抵御风险的能力，提高农业保险服务能力，全面推动我市农业保险高质量发展，保障粮食安全，保护农业生产者收益。</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5.农业生产能力提升。</w:t>
      </w:r>
      <w:r>
        <w:rPr>
          <w:rFonts w:hint="eastAsia" w:ascii="仿宋_GB2312" w:hAnsi="仿宋_GB2312" w:eastAsia="仿宋_GB2312" w:cs="仿宋_GB2312"/>
          <w:sz w:val="32"/>
          <w:szCs w:val="32"/>
        </w:rPr>
        <w:t>共实施2个项目，其中已完成项目1个。实施项目中，1个项目基本完成了项目年度绩效目标。总体上，完成复耕整治撂荒地面积8,597亩、粮食播种面积175,100亩、粮食总产量61,280万吨。实施种粮一次性补贴和撂荒地复耕整治，提高种粮农民积极性和增加种植面积。</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6.其他农业农村项目。</w:t>
      </w:r>
      <w:r>
        <w:rPr>
          <w:rFonts w:hint="eastAsia" w:ascii="仿宋_GB2312" w:hAnsi="仿宋_GB2312" w:eastAsia="仿宋_GB2312" w:cs="仿宋_GB2312"/>
          <w:sz w:val="32"/>
          <w:szCs w:val="32"/>
        </w:rPr>
        <w:t>共实施</w:t>
      </w:r>
      <w:r>
        <w:rPr>
          <w:rFonts w:ascii="仿宋_GB2312" w:hAnsi="仿宋_GB2312" w:eastAsia="仿宋_GB2312" w:cs="仿宋_GB2312"/>
          <w:sz w:val="32"/>
          <w:szCs w:val="32"/>
        </w:rPr>
        <w:t>19</w:t>
      </w:r>
      <w:r>
        <w:rPr>
          <w:rFonts w:hint="eastAsia" w:ascii="仿宋_GB2312" w:hAnsi="仿宋_GB2312" w:eastAsia="仿宋_GB2312" w:cs="仿宋_GB2312"/>
          <w:sz w:val="32"/>
          <w:szCs w:val="32"/>
        </w:rPr>
        <w:t>个项目，其中已完成</w:t>
      </w:r>
      <w:r>
        <w:rPr>
          <w:rFonts w:ascii="仿宋_GB2312" w:hAnsi="仿宋_GB2312" w:eastAsia="仿宋_GB2312" w:cs="仿宋_GB2312"/>
          <w:sz w:val="32"/>
          <w:szCs w:val="32"/>
        </w:rPr>
        <w:t>18</w:t>
      </w:r>
      <w:r>
        <w:rPr>
          <w:rFonts w:hint="eastAsia" w:ascii="仿宋_GB2312" w:hAnsi="仿宋_GB2312" w:eastAsia="仿宋_GB2312" w:cs="仿宋_GB2312"/>
          <w:sz w:val="32"/>
          <w:szCs w:val="32"/>
        </w:rPr>
        <w:t>个项目，</w:t>
      </w:r>
      <w:r>
        <w:rPr>
          <w:rFonts w:ascii="仿宋_GB2312" w:hAnsi="仿宋_GB2312" w:eastAsia="仿宋_GB2312" w:cs="仿宋_GB2312"/>
          <w:sz w:val="32"/>
          <w:szCs w:val="32"/>
        </w:rPr>
        <w:t>1个项目正在建设中，</w:t>
      </w:r>
      <w:r>
        <w:rPr>
          <w:rFonts w:hint="eastAsia" w:ascii="仿宋_GB2312" w:hAnsi="仿宋_GB2312" w:eastAsia="仿宋_GB2312" w:cs="仿宋_GB2312"/>
          <w:sz w:val="32"/>
          <w:szCs w:val="32"/>
        </w:rPr>
        <w:t>预计</w:t>
      </w:r>
      <w:r>
        <w:rPr>
          <w:rFonts w:ascii="仿宋_GB2312" w:hAnsi="仿宋_GB2312" w:eastAsia="仿宋_GB2312" w:cs="仿宋_GB2312"/>
          <w:sz w:val="32"/>
          <w:szCs w:val="32"/>
        </w:rPr>
        <w:t>2023年3月中旬完成建设并交工验收。实施项目中，19</w:t>
      </w:r>
      <w:r>
        <w:rPr>
          <w:rFonts w:hint="eastAsia" w:ascii="仿宋_GB2312" w:hAnsi="仿宋_GB2312" w:eastAsia="仿宋_GB2312" w:cs="仿宋_GB2312"/>
          <w:sz w:val="32"/>
          <w:szCs w:val="32"/>
        </w:rPr>
        <w:t>个项目基本完成了项目年度绩效目标。总体上，通过实施红火蚁防控和完善农村基础设施等行动，有效增加农民经济效益，</w:t>
      </w:r>
      <w:r>
        <w:rPr>
          <w:rFonts w:hint="eastAsia" w:ascii="仿宋_GB2312" w:hAnsi="仿宋_GB2312" w:eastAsia="仿宋_GB2312" w:cs="仿宋_GB2312"/>
          <w:sz w:val="32"/>
          <w:szCs w:val="32"/>
          <w:lang w:val="zh-CN"/>
        </w:rPr>
        <w:t>推进</w:t>
      </w:r>
      <w:r>
        <w:rPr>
          <w:rFonts w:hint="eastAsia" w:ascii="仿宋_GB2312" w:hAnsi="仿宋_GB2312" w:eastAsia="仿宋_GB2312" w:cs="仿宋_GB2312"/>
          <w:sz w:val="32"/>
          <w:szCs w:val="32"/>
        </w:rPr>
        <w:t>我市深化供销合作社综合改革工作，改善农村人居环境，提升防控后项目区红火蚁统一防控效果。</w:t>
      </w:r>
    </w:p>
    <w:p>
      <w:pPr>
        <w:spacing w:line="54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7.全面推进河长制湖长制。</w:t>
      </w:r>
      <w:r>
        <w:rPr>
          <w:rFonts w:hint="eastAsia" w:ascii="仿宋_GB2312" w:hAnsi="仿宋_GB2312" w:eastAsia="仿宋_GB2312" w:cs="仿宋_GB2312"/>
          <w:sz w:val="32"/>
          <w:szCs w:val="32"/>
        </w:rPr>
        <w:t>共实施1个项目，江门市碧道建设工程项目（鹤山段），本项目已完工（完成），基本完成了项目年度绩效目标。2022年我市全面推进河长制湖长制工作，积极落实对全市范围内所有河道的管护工作以及推进碧道建设，共管护150公里，资金已全部支付完成。碧道建设工程通过水资源保障、水安全提升、水环境改善、水生态保护与修复、景观与游憩系统构建等工程，完善区域防洪体系，改善水环境水生态，提升滨水品质，打造“清水绿岸、鱼翔浅底、水草丰美、白鹭成群”的碧道。</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8.病险水库水闸除险加固工程。</w:t>
      </w:r>
      <w:r>
        <w:rPr>
          <w:rFonts w:hint="eastAsia" w:ascii="仿宋_GB2312" w:hAnsi="仿宋_GB2312" w:eastAsia="仿宋_GB2312" w:cs="仿宋_GB2312"/>
          <w:sz w:val="32"/>
          <w:szCs w:val="32"/>
        </w:rPr>
        <w:t>共实施1个项目，其中已完成项目1个。实施项目中，1个项目基本完成了项目年度绩效目标。总体上，石寮水库主要担负龙口镇三洞行政村的1,683亩农田灌溉及下游0.5万人的防洪任务，本工程的实施能及时消除水库安全隐患，避免或减轻了暴雨洪水给社会正常生产和人民生活造成的影响，对促进人民安居乐业和文化、教育、科学事业的发展及推进精神文明建设将起到积极的作用。</w:t>
      </w:r>
    </w:p>
    <w:p>
      <w:pPr>
        <w:spacing w:line="54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9.农村集中供水。</w:t>
      </w:r>
      <w:r>
        <w:rPr>
          <w:rFonts w:hint="eastAsia" w:ascii="仿宋_GB2312" w:hAnsi="仿宋_GB2312" w:eastAsia="仿宋_GB2312" w:cs="仿宋_GB2312"/>
          <w:sz w:val="32"/>
          <w:szCs w:val="32"/>
        </w:rPr>
        <w:t>共实施1个项目，其中已完成项目1个。实施项目中，1个项目基本完成了项目年度绩效目标。总体上，通过本供水工程的实施，进一步实现城乡供水一体化的目标，保障了农村供水水量、水质安全。</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10.中小河流治理。</w:t>
      </w:r>
      <w:r>
        <w:rPr>
          <w:rFonts w:hint="eastAsia" w:ascii="仿宋_GB2312" w:hAnsi="仿宋_GB2312" w:eastAsia="仿宋_GB2312" w:cs="仿宋_GB2312"/>
          <w:sz w:val="32"/>
          <w:szCs w:val="32"/>
        </w:rPr>
        <w:t>共实施1个项目，其中1个项目正在建设中。实施项目中，1个项目基本完成了项目年度绩效目标。总体上，通过畅通河道、建设碧道、建管景道，构建沿河风景线，打造市民漫步场，塑造水美乡村，最大程度激活与释放流域价值，努力建成一条“水清岸绿、鱼翔浅底、水草丰美、白鹭成群”的生态廊道。</w:t>
      </w:r>
    </w:p>
    <w:p>
      <w:pPr>
        <w:spacing w:line="54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11.水资源节约与保护。</w:t>
      </w:r>
      <w:r>
        <w:rPr>
          <w:rFonts w:hint="eastAsia" w:ascii="仿宋_GB2312" w:hAnsi="仿宋_GB2312" w:eastAsia="仿宋_GB2312" w:cs="仿宋_GB2312"/>
          <w:sz w:val="32"/>
          <w:szCs w:val="32"/>
        </w:rPr>
        <w:t>共实施2个项目，其中2个项目均已完工。实施项目中，2个项目基本完成了项目年度绩效目标。总体上，完成了开工数量1宗及节水配套改造面积1.1万亩的绩效目标，通过灌区改造后，能有效减少水量损失，提高渠系水利用系数和灌溉水利用系数，灌溉保证率不小于90%。</w:t>
      </w:r>
    </w:p>
    <w:p>
      <w:pPr>
        <w:autoSpaceDE w:val="0"/>
        <w:autoSpaceDN w:val="0"/>
        <w:snapToGrid w:val="0"/>
        <w:spacing w:line="540" w:lineRule="exact"/>
        <w:ind w:firstLine="642" w:firstLineChars="200"/>
        <w:outlineLvl w:val="0"/>
        <w:rPr>
          <w:rFonts w:ascii="仿宋_GB2312" w:hAnsi="仿宋_GB2312" w:eastAsia="仿宋_GB2312" w:cs="仿宋_GB2312"/>
          <w:sz w:val="32"/>
          <w:szCs w:val="32"/>
        </w:rPr>
      </w:pPr>
      <w:r>
        <w:rPr>
          <w:rFonts w:hint="eastAsia" w:ascii="仿宋_GB2312" w:hAnsi="仿宋_GB2312" w:eastAsia="仿宋_GB2312" w:cs="仿宋_GB2312"/>
          <w:b/>
          <w:bCs/>
          <w:sz w:val="32"/>
          <w:szCs w:val="32"/>
        </w:rPr>
        <w:t>12.水库移民后期扶持。</w:t>
      </w:r>
      <w:r>
        <w:rPr>
          <w:rFonts w:hint="eastAsia" w:ascii="仿宋_GB2312" w:hAnsi="仿宋_GB2312" w:eastAsia="仿宋_GB2312" w:cs="仿宋_GB2312"/>
          <w:sz w:val="32"/>
          <w:szCs w:val="32"/>
        </w:rPr>
        <w:t>共实施3个项目，其中3个项目均已完工。实施项目中，3个项目基本完成了项目年度绩效目标。总体上，提高了水库移民人均收入，改善村内环境，方便村民出行，提高村民满意度。</w:t>
      </w:r>
    </w:p>
    <w:p>
      <w:pPr>
        <w:spacing w:line="54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13.其他水利项目。</w:t>
      </w:r>
      <w:r>
        <w:rPr>
          <w:rFonts w:hint="eastAsia" w:ascii="仿宋_GB2312" w:hAnsi="仿宋_GB2312" w:eastAsia="仿宋_GB2312" w:cs="仿宋_GB2312"/>
          <w:sz w:val="32"/>
          <w:szCs w:val="32"/>
        </w:rPr>
        <w:t>共实施1个项目，其中已完成项目1个。实施项目中，1个项目基本完成了项目年度绩效目标。总体上，对相关流域提出分流域、分区域、分阶段系统推进流域水污染防治，强化水环境质量目标管理。围绕年度目标制定详细实施计划，逐步推进水污染防治工作，并顺利完成省、市对鹤山市水污染防治工作考核，切实保护鹤山市水环境质量。</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14.林业有害生物防控。</w:t>
      </w:r>
      <w:r>
        <w:rPr>
          <w:rFonts w:hint="eastAsia" w:ascii="仿宋_GB2312" w:hAnsi="仿宋_GB2312" w:eastAsia="仿宋_GB2312" w:cs="仿宋_GB2312"/>
          <w:sz w:val="32"/>
          <w:szCs w:val="32"/>
        </w:rPr>
        <w:t>共实施1个项目，其中已完成项目1个。实施项目中，1个项目基本完成了项目年度绩效目标。总体上，2022年完成松材线虫病防治面积2,900亩，完成林业有害生物防治面积12,900万亩，顺利完成了上级主管部门下达林业有害生物防治和林长制考核目标。项目实施后，能更好地维护我市的森林资源，减轻松材线虫病等林业有害生物灾害带来的经济损失，保障新一轮绿化成果，维护我市的森林资源和生态安全。</w:t>
      </w:r>
    </w:p>
    <w:p>
      <w:pPr>
        <w:spacing w:line="54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15.食用林产品质量安全。</w:t>
      </w:r>
      <w:r>
        <w:rPr>
          <w:rFonts w:hint="eastAsia" w:ascii="仿宋_GB2312" w:hAnsi="仿宋_GB2312" w:eastAsia="仿宋_GB2312" w:cs="仿宋_GB2312"/>
          <w:sz w:val="32"/>
          <w:szCs w:val="32"/>
        </w:rPr>
        <w:t>共实施1个项目，其中已完成项目1个。实施中，1个项目基本完成了项目年度绩效目标。总体上，完成我市2022年13批次食用林产品质量检测抽检工作。</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16.政策性森林保险保费补贴。</w:t>
      </w:r>
      <w:r>
        <w:rPr>
          <w:rFonts w:hint="eastAsia" w:ascii="仿宋_GB2312" w:hAnsi="仿宋_GB2312" w:eastAsia="仿宋_GB2312" w:cs="仿宋_GB2312"/>
          <w:sz w:val="32"/>
          <w:szCs w:val="32"/>
        </w:rPr>
        <w:t>共实施1个项目，其中已完成项目1个。实施中，1个项目基本完成了项目年度绩效目标。总体上，生态公益林100%承保，商品林承保不低于25%。通过政策性森林保险保费补贴，能有效分散林业生产经营风险，持续推进现代林业发展，助力乡村产业振兴，保障农民收益。</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17.造林及抚育。</w:t>
      </w:r>
      <w:r>
        <w:rPr>
          <w:rFonts w:hint="eastAsia" w:ascii="仿宋_GB2312" w:hAnsi="仿宋_GB2312" w:eastAsia="仿宋_GB2312" w:cs="仿宋_GB2312"/>
          <w:sz w:val="32"/>
          <w:szCs w:val="32"/>
        </w:rPr>
        <w:t>共实施3个项目，已完工3个并完成项目绩效。其中，高质量水源林建设项目1个，目前已完工，基本完成了项目年度绩效目标；实施新造林抚育和大径材示范点建设项目2个。2022年实际完成高质量水源林建设（造林更新及补植套种）5,001.1亩、新造林抚育4,640亩。通过采用更新改造和补植套种的方式进行高质量水源林建设，因地制宜种植乡土阔叶树种，促进森林植被恢复，扩大水源涵养林面积。其次，有效发挥森林的固碳作用，提升生态系统的碳汇增量，促进我市低碳经济、绿色经济的发展，提升粤港澳大湾区生态建设水平，良好的生态环境将吸引和带动社会各界投身林业生态建设，为当地群众提供就业机会、带动当地群众就业、增加当地群众收入，带来良好的实惠效益。</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18.永久基本农田保护。</w:t>
      </w:r>
      <w:r>
        <w:rPr>
          <w:rFonts w:hint="eastAsia" w:ascii="仿宋_GB2312" w:hAnsi="仿宋_GB2312" w:eastAsia="仿宋_GB2312" w:cs="仿宋_GB2312"/>
          <w:sz w:val="32"/>
          <w:szCs w:val="32"/>
        </w:rPr>
        <w:t>共实施1个项目，其中已完成项目1个。实施项目中，1个项目基本完成了项目年度绩效目标。总体上，落实《鹤山市土地利用总体规划（2010—2020年）》划定的基本农田保护任务，按照2022年10月自然资源部批复的“三区三线”划定成果，鹤山市永久基本农田保护面积调整为102,140亩，通过上级政府的耕地保护责任目标考核，调动农民保护基本农田的积极性，切实做好我市耕地和基本农田的保护工作。</w:t>
      </w:r>
    </w:p>
    <w:p>
      <w:pPr>
        <w:spacing w:line="540" w:lineRule="exact"/>
        <w:ind w:firstLine="640"/>
        <w:rPr>
          <w:rFonts w:ascii="仿宋_GB2312" w:hAnsi="仿宋_GB2312" w:eastAsia="仿宋_GB2312" w:cs="仿宋_GB2312"/>
          <w:sz w:val="32"/>
          <w:szCs w:val="32"/>
        </w:rPr>
      </w:pPr>
      <w:r>
        <w:rPr>
          <w:rFonts w:hint="eastAsia" w:ascii="仿宋_GB2312" w:hAnsi="仿宋_GB2312" w:eastAsia="仿宋_GB2312" w:cs="仿宋_GB2312"/>
          <w:b/>
          <w:bCs/>
          <w:sz w:val="32"/>
          <w:szCs w:val="32"/>
        </w:rPr>
        <w:t>19.农村生活污水治理。</w:t>
      </w:r>
      <w:r>
        <w:rPr>
          <w:rFonts w:hint="eastAsia" w:ascii="仿宋_GB2312" w:hAnsi="仿宋_GB2312" w:eastAsia="仿宋_GB2312" w:cs="仿宋_GB2312"/>
          <w:sz w:val="32"/>
          <w:szCs w:val="32"/>
        </w:rPr>
        <w:t>共实施1个项目，其中已完成项目1个。实施项目中，1个项目基本完成了项目年度绩效目标。总体上，有效改善现有农村生活污水无序排放、处理能力不足的局面，切实解决水污染环境问题，进一步补齐农村生活污水治理短板，改善农村人居环境质量，助力全面乡村振兴，加快建设美丽宜居乡村。</w:t>
      </w:r>
    </w:p>
    <w:p>
      <w:pPr>
        <w:spacing w:line="54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20.四好农村路建设。</w:t>
      </w:r>
      <w:r>
        <w:rPr>
          <w:rFonts w:hint="eastAsia" w:ascii="仿宋_GB2312" w:hAnsi="仿宋_GB2312" w:eastAsia="仿宋_GB2312" w:cs="仿宋_GB2312"/>
          <w:sz w:val="32"/>
          <w:szCs w:val="32"/>
        </w:rPr>
        <w:t>共实施11个项目，其中已完成项目10个、建设（实施）中项目1个。实施项目中，11个项目基本完成了项目年度绩效目标。总体上，农村公路建设符合公路工程质量规定，农村公路路况水平明显提升，工程合格率达到100%。</w:t>
      </w:r>
    </w:p>
    <w:p>
      <w:pPr>
        <w:spacing w:line="540" w:lineRule="exact"/>
        <w:ind w:firstLine="642"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21.四好农村路养护。</w:t>
      </w:r>
      <w:bookmarkStart w:id="0" w:name="OLE_LINK3"/>
      <w:r>
        <w:rPr>
          <w:rFonts w:hint="eastAsia" w:ascii="仿宋_GB2312" w:hAnsi="仿宋_GB2312" w:eastAsia="仿宋_GB2312" w:cs="仿宋_GB2312"/>
          <w:sz w:val="32"/>
          <w:szCs w:val="32"/>
        </w:rPr>
        <w:t>共实施2个项目，其中已完成项目2个。实施项目中，2个项目基本完成了项目年度绩效目标。总体上，通过对全市922.349公里农村公路实施养护，提升农村公路路况水平，方便群众出行，提高农村交通出行满意度。</w:t>
      </w:r>
      <w:bookmarkEnd w:id="0"/>
    </w:p>
    <w:p>
      <w:pPr>
        <w:spacing w:line="540" w:lineRule="exact"/>
        <w:ind w:firstLine="640"/>
        <w:jc w:val="left"/>
        <w:rPr>
          <w:rFonts w:ascii="楷体_GB2312" w:hAnsi="楷体_GB2312" w:eastAsia="楷体_GB2312" w:cs="楷体_GB2312"/>
          <w:sz w:val="32"/>
          <w:szCs w:val="32"/>
          <w:highlight w:val="yellow"/>
        </w:rPr>
      </w:pPr>
      <w:r>
        <w:rPr>
          <w:rFonts w:hint="eastAsia" w:ascii="楷体_GB2312" w:hAnsi="楷体_GB2312" w:eastAsia="楷体_GB2312" w:cs="楷体_GB2312"/>
          <w:bCs/>
          <w:sz w:val="32"/>
          <w:szCs w:val="32"/>
        </w:rPr>
        <w:t>（三）考核工作及大事要事绩效目标完成情况分析</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1.粮食安全省长责任考核（粮食生产相关内容）。</w:t>
      </w:r>
      <w:r>
        <w:rPr>
          <w:rFonts w:hint="eastAsia" w:ascii="仿宋_GB2312" w:hAnsi="仿宋_GB2312" w:eastAsia="仿宋_GB2312" w:cs="仿宋_GB2312"/>
          <w:sz w:val="32"/>
          <w:szCs w:val="32"/>
        </w:rPr>
        <w:t>除粮食总产量受气候影响未能完成省下达63,800吨目标外，其他项目已完成全年绩效目标任务。其中，2022年我市粮食播种面积175,100亩，比2021年增加3,100亩；水稻耕种收综合机械化率82.9%，比2021年增加1.9个百分点；农作物重大病虫害不暴发成灾，重大植物疫情不恶性蔓延。</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2.动物防疫。</w:t>
      </w:r>
      <w:r>
        <w:rPr>
          <w:rFonts w:hint="eastAsia" w:ascii="仿宋_GB2312" w:hAnsi="仿宋_GB2312" w:eastAsia="仿宋_GB2312" w:cs="仿宋_GB2312"/>
          <w:sz w:val="32"/>
          <w:szCs w:val="32"/>
        </w:rPr>
        <w:t>2022年，强制免疫病种应免畜禽的免疫密度100%，平均免疫抗体合格率87%，生猪饲养量61.11万头、家禽饲养量2,127.95万羽、牛饲养量0.44万头，动物强制扑杀补助经费发放完成率100%，重大动物疫情依法处置率100%，2022年无发生大规模随意抛弃病死猪事件，2021年强制扑杀0头。已完成全年绩效目标任务。</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3.农产品质量安全（食用农产品、食用林产品质量安全，屠宰环节生猪无害化处理）。</w:t>
      </w:r>
      <w:r>
        <w:rPr>
          <w:rFonts w:hint="eastAsia" w:ascii="仿宋_GB2312" w:hAnsi="仿宋_GB2312" w:eastAsia="仿宋_GB2312" w:cs="仿宋_GB2312"/>
          <w:sz w:val="32"/>
          <w:szCs w:val="32"/>
        </w:rPr>
        <w:t>2022年，无发生重大农产品质量安全事故，对屠宰环节病死生猪100%进行无害化处理，完成食用林产品监测13批次。已完成全年绩效目标任务。</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4.农村人居环境整治（村庄清洁行动、农村厕所问题摸排整改、生活污水治理及运行管护、乡村生活垃圾治理）。</w:t>
      </w:r>
      <w:r>
        <w:rPr>
          <w:rFonts w:hint="eastAsia" w:ascii="仿宋_GB2312" w:hAnsi="仿宋_GB2312" w:eastAsia="仿宋_GB2312" w:cs="仿宋_GB2312"/>
          <w:sz w:val="32"/>
          <w:szCs w:val="32"/>
        </w:rPr>
        <w:t>2022年，全市116个村（居）均落实长效管护机制；建立农村生活污水的长效运行管护机制；完成改造提升的农村厕所数量</w:t>
      </w:r>
      <w:r>
        <w:rPr>
          <w:rFonts w:ascii="仿宋_GB2312" w:hAnsi="仿宋_GB2312" w:eastAsia="仿宋_GB2312" w:cs="仿宋_GB2312"/>
          <w:sz w:val="32"/>
          <w:szCs w:val="32"/>
        </w:rPr>
        <w:t>65个，完成雅瑶</w:t>
      </w:r>
      <w:r>
        <w:rPr>
          <w:rFonts w:hint="eastAsia" w:ascii="仿宋_GB2312" w:hAnsi="仿宋_GB2312" w:eastAsia="仿宋_GB2312" w:cs="仿宋_GB2312"/>
          <w:sz w:val="32"/>
          <w:szCs w:val="32"/>
        </w:rPr>
        <w:t>公厕改造提升</w:t>
      </w:r>
      <w:r>
        <w:rPr>
          <w:rFonts w:ascii="仿宋_GB2312" w:hAnsi="仿宋_GB2312" w:eastAsia="仿宋_GB2312" w:cs="仿宋_GB2312"/>
          <w:sz w:val="32"/>
          <w:szCs w:val="32"/>
        </w:rPr>
        <w:t>65</w:t>
      </w:r>
      <w:r>
        <w:rPr>
          <w:rFonts w:hint="eastAsia" w:ascii="仿宋_GB2312" w:hAnsi="仿宋_GB2312" w:eastAsia="仿宋_GB2312" w:cs="仿宋_GB2312"/>
          <w:sz w:val="32"/>
          <w:szCs w:val="32"/>
        </w:rPr>
        <w:t>座，截至2022年底累计实现农村厕所无害化处理或资源化利用的农村厕所占比100%；印发《鹤山市农村厕所长效管护机制工作方案》，建立农村厕所革命长效管护机制；继续开展农污三期、农污四期工程并全部完工，完成了111个自然村的生活污水设施建设。已完成全年绩效目标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5.高标准农田建设</w:t>
      </w:r>
      <w:r>
        <w:rPr>
          <w:rFonts w:hint="eastAsia" w:ascii="仿宋_GB2312" w:hAnsi="仿宋_GB2312" w:eastAsia="仿宋_GB2312" w:cs="仿宋_GB2312"/>
          <w:b/>
          <w:sz w:val="32"/>
          <w:szCs w:val="32"/>
        </w:rPr>
        <w:t>。</w:t>
      </w:r>
      <w:r>
        <w:rPr>
          <w:rFonts w:hint="eastAsia" w:ascii="仿宋_GB2312" w:hAnsi="仿宋_GB2312" w:eastAsia="仿宋_GB2312" w:cs="仿宋_GB2312"/>
          <w:sz w:val="32"/>
          <w:szCs w:val="32"/>
        </w:rPr>
        <w:t>2022年度完成高标准农田8,220亩（含补建220亩）的建设工作（3个项目），项目选址分别在龙口、址山、古劳、雅瑶、双合、宅梧镇，财政总投资1,849.5万元。截至2022年底，3个项目的施工进度均达85%以上，完成了上级要求的施工进度达80%的时间节点任务；已建立高标准农田（含垦造水田）长效管护机制。已完成全年绩效目标任务。</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6.耕地污染源头防控与安全利用。</w:t>
      </w:r>
      <w:r>
        <w:rPr>
          <w:rFonts w:hint="eastAsia" w:ascii="仿宋_GB2312" w:hAnsi="仿宋_GB2312" w:eastAsia="仿宋_GB2312" w:cs="仿宋_GB2312"/>
          <w:sz w:val="32"/>
          <w:szCs w:val="32"/>
        </w:rPr>
        <w:t>2022年，受污染耕地实现安全利用面积、重度污染耕地种植结构调整或退耕还林面积均完成省下达的任务。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7.全面推进河</w:t>
      </w:r>
      <w:r>
        <w:rPr>
          <w:rFonts w:hint="eastAsia" w:ascii="仿宋_GB2312" w:hAnsi="仿宋_GB2312" w:eastAsia="仿宋_GB2312" w:cs="仿宋_GB2312"/>
          <w:b/>
          <w:sz w:val="32"/>
          <w:szCs w:val="32"/>
        </w:rPr>
        <w:t>长制湖长制。</w:t>
      </w:r>
      <w:r>
        <w:rPr>
          <w:rFonts w:hint="eastAsia" w:ascii="仿宋_GB2312" w:hAnsi="仿宋_GB2312" w:eastAsia="仿宋_GB2312" w:cs="仿宋_GB2312"/>
          <w:sz w:val="32"/>
          <w:szCs w:val="32"/>
        </w:rPr>
        <w:t>具体指标为完成河湖管护长度</w:t>
      </w:r>
      <w:r>
        <w:rPr>
          <w:rFonts w:ascii="仿宋_GB2312" w:hAnsi="仿宋_GB2312" w:eastAsia="仿宋_GB2312" w:cs="仿宋_GB2312"/>
          <w:sz w:val="32"/>
          <w:szCs w:val="32"/>
        </w:rPr>
        <w:t>150</w:t>
      </w:r>
      <w:r>
        <w:rPr>
          <w:rFonts w:hint="eastAsia" w:ascii="仿宋_GB2312" w:hAnsi="仿宋_GB2312" w:eastAsia="仿宋_GB2312" w:cs="仿宋_GB2312"/>
          <w:sz w:val="32"/>
          <w:szCs w:val="32"/>
        </w:rPr>
        <w:t>公里。</w:t>
      </w:r>
      <w:r>
        <w:rPr>
          <w:rFonts w:ascii="仿宋_GB2312" w:hAnsi="仿宋_GB2312" w:eastAsia="仿宋_GB2312" w:cs="仿宋_GB2312"/>
          <w:sz w:val="32"/>
          <w:szCs w:val="32"/>
        </w:rPr>
        <w:t>2022年我</w:t>
      </w:r>
      <w:r>
        <w:rPr>
          <w:rFonts w:hint="eastAsia" w:ascii="仿宋_GB2312" w:hAnsi="仿宋_GB2312" w:eastAsia="仿宋_GB2312" w:cs="仿宋_GB2312"/>
          <w:sz w:val="32"/>
          <w:szCs w:val="32"/>
        </w:rPr>
        <w:t>市全面推进河长制湖长制工作，积极落实对全市范围内所有河道的管护工作，共管护</w:t>
      </w:r>
      <w:r>
        <w:rPr>
          <w:rFonts w:ascii="仿宋_GB2312" w:hAnsi="仿宋_GB2312" w:eastAsia="仿宋_GB2312" w:cs="仿宋_GB2312"/>
          <w:sz w:val="32"/>
          <w:szCs w:val="32"/>
        </w:rPr>
        <w:t>150公里，</w:t>
      </w:r>
      <w:r>
        <w:rPr>
          <w:rFonts w:hint="eastAsia" w:ascii="仿宋_GB2312" w:hAnsi="仿宋_GB2312" w:eastAsia="仿宋_GB2312" w:cs="仿宋_GB2312"/>
          <w:sz w:val="32"/>
          <w:szCs w:val="32"/>
        </w:rPr>
        <w:t>已完成全年绩效目标任务。</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8.最严格水资源管理制度考核（</w:t>
      </w:r>
      <w:r>
        <w:rPr>
          <w:rFonts w:hint="eastAsia" w:ascii="仿宋_GB2312" w:hAnsi="仿宋_GB2312" w:eastAsia="仿宋_GB2312" w:cs="仿宋_GB2312"/>
          <w:b/>
          <w:sz w:val="32"/>
          <w:szCs w:val="32"/>
        </w:rPr>
        <w:t>含农业水价综合改革）。</w:t>
      </w:r>
      <w:r>
        <w:rPr>
          <w:rFonts w:ascii="仿宋_GB2312" w:hAnsi="仿宋_GB2312" w:eastAsia="仿宋_GB2312" w:cs="仿宋_GB2312"/>
          <w:sz w:val="32"/>
          <w:szCs w:val="32"/>
        </w:rPr>
        <w:t>2022年</w:t>
      </w:r>
      <w:r>
        <w:rPr>
          <w:rFonts w:hint="eastAsia" w:ascii="仿宋_GB2312" w:hAnsi="仿宋_GB2312" w:eastAsia="仿宋_GB2312" w:cs="仿宋_GB2312"/>
          <w:sz w:val="32"/>
          <w:szCs w:val="32"/>
        </w:rPr>
        <w:t>，我市用水总量</w:t>
      </w:r>
      <w:r>
        <w:rPr>
          <w:rFonts w:ascii="仿宋_GB2312" w:hAnsi="仿宋_GB2312" w:eastAsia="仿宋_GB2312" w:cs="仿宋_GB2312"/>
          <w:sz w:val="32"/>
          <w:szCs w:val="32"/>
        </w:rPr>
        <w:t>2.7089亿立方米，小于绩效目标值3.224亿立方米</w:t>
      </w:r>
      <w:r>
        <w:rPr>
          <w:rFonts w:hint="eastAsia" w:ascii="仿宋_GB2312" w:hAnsi="仿宋_GB2312" w:eastAsia="仿宋_GB2312" w:cs="仿宋_GB2312"/>
          <w:sz w:val="32"/>
          <w:szCs w:val="32"/>
        </w:rPr>
        <w:t>，实现节水目标，完成年度用水总量控制指标工作，新增实施农业水价综合改革面积</w:t>
      </w:r>
      <w:r>
        <w:rPr>
          <w:rFonts w:ascii="仿宋_GB2312" w:hAnsi="仿宋_GB2312" w:eastAsia="仿宋_GB2312" w:cs="仿宋_GB2312"/>
          <w:sz w:val="32"/>
          <w:szCs w:val="32"/>
        </w:rPr>
        <w:t>24,900亩。</w:t>
      </w:r>
      <w:r>
        <w:rPr>
          <w:rFonts w:hint="eastAsia" w:ascii="仿宋_GB2312" w:hAnsi="仿宋_GB2312" w:eastAsia="仿宋_GB2312" w:cs="仿宋_GB2312"/>
          <w:sz w:val="32"/>
          <w:szCs w:val="32"/>
        </w:rPr>
        <w:t>在四堡灌区安装量水设施，完成农业水价改革面积</w:t>
      </w:r>
      <w:r>
        <w:rPr>
          <w:rFonts w:ascii="仿宋_GB2312" w:hAnsi="仿宋_GB2312" w:eastAsia="仿宋_GB2312" w:cs="仿宋_GB2312"/>
          <w:sz w:val="32"/>
          <w:szCs w:val="32"/>
        </w:rPr>
        <w:t>24,900亩的</w:t>
      </w:r>
      <w:r>
        <w:rPr>
          <w:rFonts w:hint="eastAsia" w:ascii="仿宋_GB2312" w:hAnsi="仿宋_GB2312" w:eastAsia="仿宋_GB2312" w:cs="仿宋_GB2312"/>
          <w:sz w:val="32"/>
          <w:szCs w:val="32"/>
        </w:rPr>
        <w:t>目标；开工建设中型灌区续建配套与节水改造项目数量</w:t>
      </w:r>
      <w:r>
        <w:rPr>
          <w:rFonts w:ascii="仿宋_GB2312" w:hAnsi="仿宋_GB2312" w:eastAsia="仿宋_GB2312" w:cs="仿宋_GB2312"/>
          <w:sz w:val="32"/>
          <w:szCs w:val="32"/>
        </w:rPr>
        <w:t>1宗，节水配套改造面积1.1万亩。</w:t>
      </w:r>
      <w:r>
        <w:rPr>
          <w:rFonts w:hint="eastAsia" w:ascii="仿宋_GB2312" w:hAnsi="仿宋_GB2312" w:eastAsia="仿宋_GB2312" w:cs="仿宋_GB2312"/>
          <w:sz w:val="32"/>
          <w:szCs w:val="32"/>
        </w:rPr>
        <w:t>实施鹤山市金峡水库灌区续建配套与节水改造工程，完成开工数量</w:t>
      </w:r>
      <w:r>
        <w:rPr>
          <w:rFonts w:ascii="仿宋_GB2312" w:hAnsi="仿宋_GB2312" w:eastAsia="仿宋_GB2312" w:cs="仿宋_GB2312"/>
          <w:sz w:val="32"/>
          <w:szCs w:val="32"/>
        </w:rPr>
        <w:t>1宗及节水配套改造面积1.1万亩的目标。</w:t>
      </w:r>
      <w:r>
        <w:rPr>
          <w:rFonts w:hint="eastAsia" w:ascii="仿宋_GB2312" w:hAnsi="仿宋_GB2312" w:eastAsia="仿宋_GB2312" w:cs="仿宋_GB2312"/>
          <w:sz w:val="32"/>
          <w:szCs w:val="32"/>
        </w:rPr>
        <w:t>已完成全年绩效目标任务。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9.水土保持。</w:t>
      </w:r>
      <w:r>
        <w:rPr>
          <w:rFonts w:ascii="仿宋_GB2312" w:hAnsi="仿宋_GB2312" w:eastAsia="仿宋_GB2312" w:cs="仿宋_GB2312"/>
          <w:sz w:val="32"/>
          <w:szCs w:val="32"/>
        </w:rPr>
        <w:t>2022年</w:t>
      </w:r>
      <w:r>
        <w:rPr>
          <w:rFonts w:hint="eastAsia" w:ascii="仿宋_GB2312" w:hAnsi="仿宋_GB2312" w:eastAsia="仿宋_GB2312" w:cs="仿宋_GB2312"/>
          <w:sz w:val="32"/>
          <w:szCs w:val="32"/>
        </w:rPr>
        <w:t>，我市完成治理水土流失面积</w:t>
      </w:r>
      <w:r>
        <w:rPr>
          <w:rFonts w:ascii="仿宋_GB2312" w:hAnsi="仿宋_GB2312" w:eastAsia="仿宋_GB2312" w:cs="仿宋_GB2312"/>
          <w:sz w:val="32"/>
          <w:szCs w:val="32"/>
        </w:rPr>
        <w:t>3.38平方公里，未能</w:t>
      </w:r>
      <w:r>
        <w:rPr>
          <w:rFonts w:hint="eastAsia" w:ascii="仿宋_GB2312" w:hAnsi="仿宋_GB2312" w:eastAsia="仿宋_GB2312" w:cs="仿宋_GB2312"/>
          <w:sz w:val="32"/>
          <w:szCs w:val="32"/>
        </w:rPr>
        <w:t>完成全年绩效目标任务，主要原因是因疫情影响，部分复耕复垦工作未能按计划开展。</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10.水库除险加固和运行管护。</w:t>
      </w:r>
      <w:r>
        <w:rPr>
          <w:rFonts w:ascii="仿宋_GB2312" w:hAnsi="仿宋_GB2312" w:eastAsia="仿宋_GB2312" w:cs="仿宋_GB2312"/>
          <w:sz w:val="32"/>
          <w:szCs w:val="32"/>
        </w:rPr>
        <w:t>2022年</w:t>
      </w:r>
      <w:r>
        <w:rPr>
          <w:rFonts w:hint="eastAsia" w:ascii="仿宋_GB2312" w:hAnsi="仿宋_GB2312" w:eastAsia="仿宋_GB2312" w:cs="仿宋_GB2312"/>
          <w:sz w:val="32"/>
          <w:szCs w:val="32"/>
        </w:rPr>
        <w:t>，我市实施了鹤山市龙口镇石寮水库加固工程，完成了实施小型水库除险加固</w:t>
      </w:r>
      <w:r>
        <w:rPr>
          <w:rFonts w:ascii="仿宋_GB2312" w:hAnsi="仿宋_GB2312" w:eastAsia="仿宋_GB2312" w:cs="仿宋_GB2312"/>
          <w:sz w:val="32"/>
          <w:szCs w:val="32"/>
        </w:rPr>
        <w:t>1座的目标</w:t>
      </w:r>
      <w:r>
        <w:rPr>
          <w:rFonts w:hint="eastAsia" w:ascii="仿宋_GB2312" w:hAnsi="仿宋_GB2312" w:eastAsia="仿宋_GB2312" w:cs="仿宋_GB2312"/>
          <w:sz w:val="32"/>
          <w:szCs w:val="32"/>
        </w:rPr>
        <w:t>，已完成全年绩效目标任务。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11.全面推行林长制。</w:t>
      </w:r>
      <w:r>
        <w:rPr>
          <w:rFonts w:ascii="仿宋_GB2312" w:hAnsi="仿宋_GB2312" w:eastAsia="仿宋_GB2312" w:cs="仿宋_GB2312"/>
          <w:sz w:val="32"/>
          <w:szCs w:val="32"/>
        </w:rPr>
        <w:t>2022年度实际造林完成面积5,000亩，完成新造林抚育4,600</w:t>
      </w:r>
      <w:r>
        <w:rPr>
          <w:rFonts w:hint="eastAsia" w:ascii="仿宋_GB2312" w:hAnsi="仿宋_GB2312" w:eastAsia="仿宋_GB2312" w:cs="仿宋_GB2312"/>
          <w:sz w:val="32"/>
          <w:szCs w:val="32"/>
        </w:rPr>
        <w:t>亩，已超额完成全年绩效目标任务。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12.自然保护地整合优化。</w:t>
      </w:r>
      <w:r>
        <w:rPr>
          <w:rFonts w:ascii="仿宋_GB2312" w:hAnsi="仿宋_GB2312" w:eastAsia="仿宋_GB2312" w:cs="仿宋_GB2312"/>
          <w:sz w:val="32"/>
          <w:szCs w:val="32"/>
        </w:rPr>
        <w:t>2022年我市自然保护地范围边界矢量化数据制作累计完成80%，</w:t>
      </w:r>
      <w:r>
        <w:rPr>
          <w:rFonts w:hint="eastAsia" w:ascii="仿宋_GB2312" w:hAnsi="仿宋_GB2312" w:eastAsia="仿宋_GB2312" w:cs="仿宋_GB2312"/>
          <w:sz w:val="32"/>
          <w:szCs w:val="32"/>
        </w:rPr>
        <w:t>大于全年绩效目标任务值</w:t>
      </w:r>
      <w:r>
        <w:rPr>
          <w:rFonts w:ascii="仿宋_GB2312" w:hAnsi="仿宋_GB2312" w:eastAsia="仿宋_GB2312" w:cs="仿宋_GB2312"/>
          <w:sz w:val="32"/>
          <w:szCs w:val="32"/>
        </w:rPr>
        <w:t>50%</w:t>
      </w:r>
      <w:r>
        <w:rPr>
          <w:rFonts w:hint="eastAsia" w:ascii="仿宋_GB2312" w:hAnsi="仿宋_GB2312" w:eastAsia="仿宋_GB2312" w:cs="仿宋_GB2312"/>
          <w:sz w:val="32"/>
          <w:szCs w:val="32"/>
        </w:rPr>
        <w:t>。</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13.林业有害生物防控。</w:t>
      </w:r>
      <w:r>
        <w:rPr>
          <w:rFonts w:ascii="仿宋_GB2312" w:hAnsi="仿宋_GB2312" w:eastAsia="仿宋_GB2312" w:cs="仿宋_GB2312"/>
          <w:sz w:val="32"/>
          <w:szCs w:val="32"/>
        </w:rPr>
        <w:t>2022年度林业有害生物实际成灾率1.98‰，林业有害生物防治实际完成面积12,900亩，松材线虫病防治面积2,900亩，林业有害生物无公害防治率达100%，松材线虫病疫点镇拔除任务完成率为90%，</w:t>
      </w:r>
      <w:r>
        <w:rPr>
          <w:rFonts w:hint="eastAsia" w:ascii="仿宋_GB2312" w:hAnsi="仿宋_GB2312" w:eastAsia="仿宋_GB2312" w:cs="仿宋_GB2312"/>
          <w:sz w:val="32"/>
          <w:szCs w:val="32"/>
        </w:rPr>
        <w:t>已完成全年绩效目标任务。目前该项目正在向省林业局申请拔除鹤山市沙坪街道松材线虫病疫点。</w:t>
      </w:r>
    </w:p>
    <w:p>
      <w:pPr>
        <w:spacing w:line="540" w:lineRule="exact"/>
        <w:ind w:firstLine="642" w:firstLineChars="200"/>
        <w:rPr>
          <w:rFonts w:ascii="仿宋_GB2312" w:hAnsi="仿宋_GB2312" w:eastAsia="仿宋_GB2312" w:cs="仿宋_GB2312"/>
          <w:sz w:val="32"/>
          <w:szCs w:val="32"/>
        </w:rPr>
      </w:pPr>
      <w:r>
        <w:rPr>
          <w:rFonts w:ascii="仿宋_GB2312" w:hAnsi="仿宋_GB2312" w:eastAsia="仿宋_GB2312" w:cs="仿宋_GB2312"/>
          <w:b/>
          <w:sz w:val="32"/>
          <w:szCs w:val="32"/>
        </w:rPr>
        <w:t>14.永久基本农田保护。</w:t>
      </w:r>
      <w:r>
        <w:rPr>
          <w:rFonts w:hint="eastAsia" w:ascii="仿宋_GB2312" w:hAnsi="仿宋_GB2312" w:eastAsia="仿宋_GB2312" w:cs="仿宋_GB2312"/>
          <w:sz w:val="32"/>
          <w:szCs w:val="32"/>
        </w:rPr>
        <w:t>2022年完成永久基本农田保护经济补偿面积约201,800亩，已超额完成全年绩效目标任务。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15.农村公路养护。</w:t>
      </w:r>
      <w:r>
        <w:rPr>
          <w:rFonts w:hint="eastAsia" w:ascii="仿宋_GB2312" w:hAnsi="仿宋_GB2312" w:eastAsia="仿宋_GB2312" w:cs="仿宋_GB2312"/>
          <w:sz w:val="32"/>
          <w:szCs w:val="32"/>
        </w:rPr>
        <w:t>2022年共完成全市922.349公里农村公路养护任务，已完成全年绩效目标任务。</w:t>
      </w:r>
    </w:p>
    <w:p>
      <w:pPr>
        <w:spacing w:line="540" w:lineRule="exact"/>
        <w:ind w:firstLine="642" w:firstLineChars="200"/>
        <w:jc w:val="left"/>
        <w:rPr>
          <w:rFonts w:ascii="仿宋_GB2312" w:hAnsi="仿宋_GB2312" w:eastAsia="仿宋_GB2312" w:cs="仿宋_GB2312"/>
          <w:sz w:val="32"/>
          <w:szCs w:val="32"/>
        </w:rPr>
      </w:pPr>
      <w:r>
        <w:rPr>
          <w:rFonts w:ascii="仿宋_GB2312" w:hAnsi="仿宋_GB2312" w:eastAsia="仿宋_GB2312" w:cs="仿宋_GB2312"/>
          <w:b/>
          <w:sz w:val="32"/>
          <w:szCs w:val="32"/>
        </w:rPr>
        <w:t>16.自然灾害风险普查（森林、水利）。</w:t>
      </w:r>
      <w:r>
        <w:rPr>
          <w:rFonts w:hint="eastAsia" w:ascii="仿宋_GB2312" w:hAnsi="仿宋_GB2312" w:eastAsia="仿宋_GB2312" w:cs="仿宋_GB2312"/>
          <w:sz w:val="32"/>
          <w:szCs w:val="32"/>
        </w:rPr>
        <w:t>2022年，我市符合洪水隐患调查要求的水利工程共有</w:t>
      </w:r>
      <w:r>
        <w:rPr>
          <w:rFonts w:ascii="仿宋_GB2312" w:hAnsi="仿宋_GB2312" w:eastAsia="仿宋_GB2312" w:cs="仿宋_GB2312"/>
          <w:sz w:val="32"/>
          <w:szCs w:val="32"/>
        </w:rPr>
        <w:t>134宗，其中74宗水库、4宗水闸、15宗山塘、33宗堤防、8</w:t>
      </w:r>
      <w:r>
        <w:rPr>
          <w:rFonts w:hint="eastAsia" w:ascii="仿宋_GB2312" w:hAnsi="仿宋_GB2312" w:eastAsia="仿宋_GB2312" w:cs="仿宋_GB2312"/>
          <w:sz w:val="32"/>
          <w:szCs w:val="32"/>
        </w:rPr>
        <w:t>宗小水电，已全部完成洪水隐患调查并已通过省水利厅组织的技术审查；完成可燃物外业调查</w:t>
      </w:r>
      <w:r>
        <w:rPr>
          <w:rFonts w:ascii="仿宋_GB2312" w:hAnsi="仿宋_GB2312" w:eastAsia="仿宋_GB2312" w:cs="仿宋_GB2312"/>
          <w:sz w:val="32"/>
          <w:szCs w:val="32"/>
        </w:rPr>
        <w:t>22个</w:t>
      </w:r>
      <w:r>
        <w:rPr>
          <w:rFonts w:hint="eastAsia" w:ascii="仿宋_GB2312" w:hAnsi="仿宋_GB2312" w:eastAsia="仿宋_GB2312" w:cs="仿宋_GB2312"/>
          <w:sz w:val="32"/>
          <w:szCs w:val="32"/>
        </w:rPr>
        <w:t>，已完成全年绩效目标任务。</w:t>
      </w:r>
    </w:p>
    <w:p>
      <w:pPr>
        <w:spacing w:line="540" w:lineRule="exact"/>
        <w:ind w:firstLine="640"/>
        <w:rPr>
          <w:rFonts w:ascii="仿宋_GB2312" w:hAnsi="仿宋_GB2312" w:eastAsia="仿宋_GB2312" w:cs="仿宋_GB2312"/>
          <w:sz w:val="32"/>
          <w:szCs w:val="32"/>
        </w:rPr>
      </w:pPr>
      <w:r>
        <w:rPr>
          <w:rFonts w:ascii="仿宋_GB2312" w:hAnsi="仿宋_GB2312" w:eastAsia="仿宋_GB2312" w:cs="仿宋_GB2312"/>
          <w:b/>
          <w:sz w:val="32"/>
          <w:szCs w:val="32"/>
        </w:rPr>
        <w:t>17.小水电清理整改</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2022年市水利局完成</w:t>
      </w:r>
      <w:r>
        <w:rPr>
          <w:rFonts w:hint="eastAsia" w:ascii="仿宋_GB2312" w:hAnsi="仿宋_GB2312" w:eastAsia="仿宋_GB2312" w:cs="仿宋_GB2312"/>
          <w:sz w:val="32"/>
          <w:szCs w:val="32"/>
        </w:rPr>
        <w:t>了金峡水电站、沙洞水电站等</w:t>
      </w:r>
      <w:r>
        <w:rPr>
          <w:rFonts w:ascii="仿宋_GB2312" w:hAnsi="仿宋_GB2312" w:eastAsia="仿宋_GB2312" w:cs="仿宋_GB2312"/>
          <w:sz w:val="32"/>
          <w:szCs w:val="32"/>
        </w:rPr>
        <w:t>15宗小水电退出工作，</w:t>
      </w:r>
      <w:r>
        <w:rPr>
          <w:rFonts w:hint="eastAsia" w:ascii="仿宋_GB2312" w:hAnsi="仿宋_GB2312" w:eastAsia="仿宋_GB2312" w:cs="仿宋_GB2312"/>
          <w:sz w:val="32"/>
          <w:szCs w:val="32"/>
        </w:rPr>
        <w:t>已超额完成绩效目标任务。</w:t>
      </w:r>
    </w:p>
    <w:p>
      <w:pPr>
        <w:spacing w:line="540" w:lineRule="exact"/>
        <w:ind w:firstLine="640"/>
        <w:rPr>
          <w:rFonts w:ascii="仿宋_GB2312" w:hAnsi="仿宋_GB2312" w:eastAsia="仿宋_GB2312" w:cs="仿宋_GB2312"/>
          <w:sz w:val="32"/>
          <w:szCs w:val="32"/>
        </w:rPr>
      </w:pPr>
      <w:r>
        <w:rPr>
          <w:rFonts w:ascii="仿宋_GB2312" w:hAnsi="仿宋_GB2312" w:eastAsia="仿宋_GB2312" w:cs="仿宋_GB2312"/>
          <w:b/>
          <w:sz w:val="32"/>
          <w:szCs w:val="32"/>
        </w:rPr>
        <w:t>18.</w:t>
      </w:r>
      <w:r>
        <w:rPr>
          <w:rFonts w:hint="eastAsia" w:ascii="仿宋_GB2312" w:hAnsi="仿宋_GB2312" w:eastAsia="仿宋_GB2312" w:cs="仿宋_GB2312"/>
          <w:b/>
          <w:sz w:val="32"/>
          <w:szCs w:val="32"/>
        </w:rPr>
        <w:t>中小河流治理。</w:t>
      </w:r>
      <w:r>
        <w:rPr>
          <w:rFonts w:ascii="仿宋_GB2312" w:hAnsi="仿宋_GB2312" w:eastAsia="仿宋_GB2312" w:cs="仿宋_GB2312"/>
          <w:sz w:val="32"/>
          <w:szCs w:val="32"/>
        </w:rPr>
        <w:t>2022年市水利局实施了江门市鹤山市水系连通及水美乡村建设试点县项目－（江门市西江潭江流域跨界支流综合治理工程一期EPC+O项目）</w:t>
      </w:r>
      <w:r>
        <w:rPr>
          <w:rFonts w:hint="eastAsia" w:ascii="仿宋_GB2312" w:hAnsi="仿宋_GB2312" w:eastAsia="仿宋_GB2312" w:cs="仿宋_GB2312"/>
          <w:sz w:val="32"/>
          <w:szCs w:val="32"/>
        </w:rPr>
        <w:t>，对</w:t>
      </w:r>
      <w:r>
        <w:rPr>
          <w:rFonts w:ascii="仿宋_GB2312" w:hAnsi="仿宋_GB2312" w:eastAsia="仿宋_GB2312" w:cs="仿宋_GB2312"/>
          <w:sz w:val="32"/>
          <w:szCs w:val="32"/>
        </w:rPr>
        <w:t>35公里的河道进行了整治，</w:t>
      </w:r>
      <w:r>
        <w:rPr>
          <w:rFonts w:hint="eastAsia" w:ascii="仿宋_GB2312" w:hAnsi="仿宋_GB2312" w:eastAsia="仿宋_GB2312" w:cs="仿宋_GB2312"/>
          <w:sz w:val="32"/>
          <w:szCs w:val="32"/>
        </w:rPr>
        <w:t>已完成全年绩效目标任务。</w:t>
      </w:r>
    </w:p>
    <w:p>
      <w:pPr>
        <w:spacing w:line="540" w:lineRule="exact"/>
        <w:ind w:firstLine="640"/>
        <w:jc w:val="left"/>
        <w:rPr>
          <w:rFonts w:ascii="黑体" w:hAnsi="黑体" w:eastAsia="黑体" w:cs="黑体"/>
          <w:sz w:val="32"/>
          <w:szCs w:val="32"/>
        </w:rPr>
      </w:pPr>
      <w:r>
        <w:rPr>
          <w:rFonts w:hint="eastAsia" w:ascii="黑体" w:hAnsi="黑体" w:eastAsia="黑体" w:cs="黑体"/>
          <w:sz w:val="32"/>
          <w:szCs w:val="32"/>
        </w:rPr>
        <w:t>四、偏离绩效目标的原因和下一步改进措施</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市各单位均按照绩效目标和绩效指标完成绩效任务，发生绩效完成量未达到绩效目标和绩效指标2项：一是“粮食总产量”未达标。主要原因为：上半年受强降雨和台风影响，早稻等粮食产量下降，下半年受“寒露风”影响，水稻结实率低，产量下降导致粮食总产量下降。下一步，加强对种植户的技术服务指导，增强季节意识，组建农技服务深入田间地头，对不同时期的水稻开展分类指导，特别是根据当地山区环境配合农时，在确保所种晚稻品种能安全齐穗的前提下，倒推最迟播种期，并留有余地，预防年度间的气候变化导致“寒露风”提前出现而造成危害从而导致减产。二是“治理水土流失面积”未达标。主要原因为：受疫情和</w:t>
      </w:r>
      <w:r>
        <w:rPr>
          <w:rFonts w:ascii="仿宋_GB2312" w:hAnsi="仿宋_GB2312" w:eastAsia="仿宋_GB2312" w:cs="仿宋_GB2312"/>
          <w:sz w:val="32"/>
          <w:szCs w:val="32"/>
        </w:rPr>
        <w:t>资金</w:t>
      </w:r>
      <w:r>
        <w:rPr>
          <w:rFonts w:hint="eastAsia" w:ascii="仿宋_GB2312" w:hAnsi="仿宋_GB2312" w:eastAsia="仿宋_GB2312" w:cs="仿宋_GB2312"/>
          <w:sz w:val="32"/>
          <w:szCs w:val="32"/>
        </w:rPr>
        <w:t>原因影响</w:t>
      </w:r>
      <w:r>
        <w:rPr>
          <w:rFonts w:ascii="仿宋_GB2312" w:hAnsi="仿宋_GB2312" w:eastAsia="仿宋_GB2312" w:cs="仿宋_GB2312"/>
          <w:sz w:val="32"/>
          <w:szCs w:val="32"/>
        </w:rPr>
        <w:t>，林业生态重点工程封山育林及自然资源局的折旧复垦等方面</w:t>
      </w:r>
      <w:r>
        <w:rPr>
          <w:rFonts w:hint="eastAsia" w:ascii="仿宋_GB2312" w:hAnsi="仿宋_GB2312" w:eastAsia="仿宋_GB2312" w:cs="仿宋_GB2312"/>
          <w:sz w:val="32"/>
          <w:szCs w:val="32"/>
        </w:rPr>
        <w:t>的面</w:t>
      </w:r>
      <w:r>
        <w:rPr>
          <w:rFonts w:ascii="仿宋_GB2312" w:hAnsi="仿宋_GB2312" w:eastAsia="仿宋_GB2312" w:cs="仿宋_GB2312"/>
          <w:sz w:val="32"/>
          <w:szCs w:val="32"/>
        </w:rPr>
        <w:t>积偏少，导致2022年水土保持治理面积偏少。</w:t>
      </w:r>
      <w:r>
        <w:rPr>
          <w:rFonts w:hint="eastAsia" w:ascii="仿宋_GB2312" w:hAnsi="仿宋_GB2312" w:eastAsia="仿宋_GB2312" w:cs="仿宋_GB2312"/>
          <w:sz w:val="32"/>
          <w:szCs w:val="32"/>
        </w:rPr>
        <w:t>下一步，市水利局计划与相关部门加强沟通，加大资金投入力度，力争完成下一年的绩效目标。</w:t>
      </w:r>
    </w:p>
    <w:p>
      <w:pPr>
        <w:spacing w:line="54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五、绩效自评结果拟应用和公开情况</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绩效自评结果拟用于次年涉农资金申报，加强项目的前期准备工作，保证绩效目标如期完成。</w:t>
      </w:r>
    </w:p>
    <w:p>
      <w:pPr>
        <w:spacing w:line="54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六、其他需要说明的问题</w:t>
      </w:r>
    </w:p>
    <w:p>
      <w:pPr>
        <w:spacing w:line="54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中央巡视、各级审计和财政监督中暂无发现问题。</w:t>
      </w:r>
    </w:p>
    <w:p>
      <w:pPr>
        <w:spacing w:line="540" w:lineRule="exact"/>
        <w:ind w:firstLine="640"/>
        <w:jc w:val="left"/>
      </w:pPr>
    </w:p>
    <w:p>
      <w:pPr>
        <w:jc w:val="center"/>
        <w:rPr>
          <w:rFonts w:ascii="方正小标宋简体" w:hAnsi="方正小标宋简体" w:eastAsia="方正小标宋简体" w:cs="方正小标宋简体"/>
          <w:sz w:val="44"/>
          <w:szCs w:val="44"/>
        </w:rPr>
      </w:pPr>
    </w:p>
    <w:p/>
    <w:sectPr>
      <w:pgSz w:w="11906" w:h="16838"/>
      <w:pgMar w:top="1440" w:right="1531"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0000000000000000000"/>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4YmUyOGZiYmY3ZDgyYWVmNTMzZDJlZDQyYTQwMmQifQ=="/>
  </w:docVars>
  <w:rsids>
    <w:rsidRoot w:val="001058BD"/>
    <w:rsid w:val="00012D79"/>
    <w:rsid w:val="00026FF2"/>
    <w:rsid w:val="00085E7F"/>
    <w:rsid w:val="000908F5"/>
    <w:rsid w:val="000B0542"/>
    <w:rsid w:val="001058BD"/>
    <w:rsid w:val="001124CD"/>
    <w:rsid w:val="001213BA"/>
    <w:rsid w:val="0013171C"/>
    <w:rsid w:val="00152FBE"/>
    <w:rsid w:val="00185BA6"/>
    <w:rsid w:val="001866F5"/>
    <w:rsid w:val="002039C2"/>
    <w:rsid w:val="0021044D"/>
    <w:rsid w:val="00231202"/>
    <w:rsid w:val="00270AF1"/>
    <w:rsid w:val="00270B74"/>
    <w:rsid w:val="002800E6"/>
    <w:rsid w:val="00285917"/>
    <w:rsid w:val="002C652F"/>
    <w:rsid w:val="003B1D70"/>
    <w:rsid w:val="003C227D"/>
    <w:rsid w:val="0040116F"/>
    <w:rsid w:val="0041195F"/>
    <w:rsid w:val="00442A5A"/>
    <w:rsid w:val="00447A73"/>
    <w:rsid w:val="004E25EE"/>
    <w:rsid w:val="005168C1"/>
    <w:rsid w:val="005248C0"/>
    <w:rsid w:val="00531FEE"/>
    <w:rsid w:val="00564CEE"/>
    <w:rsid w:val="005976FC"/>
    <w:rsid w:val="005B6469"/>
    <w:rsid w:val="00617BA6"/>
    <w:rsid w:val="00636E05"/>
    <w:rsid w:val="00674E8D"/>
    <w:rsid w:val="006A639E"/>
    <w:rsid w:val="006D39EA"/>
    <w:rsid w:val="00740386"/>
    <w:rsid w:val="00755696"/>
    <w:rsid w:val="007B5792"/>
    <w:rsid w:val="007E13AB"/>
    <w:rsid w:val="007E3FF9"/>
    <w:rsid w:val="007F2882"/>
    <w:rsid w:val="007F7728"/>
    <w:rsid w:val="0083263D"/>
    <w:rsid w:val="008546C2"/>
    <w:rsid w:val="00871514"/>
    <w:rsid w:val="008A7E56"/>
    <w:rsid w:val="008B7060"/>
    <w:rsid w:val="008C761A"/>
    <w:rsid w:val="00904BE8"/>
    <w:rsid w:val="00917C22"/>
    <w:rsid w:val="00927519"/>
    <w:rsid w:val="00946821"/>
    <w:rsid w:val="009915CC"/>
    <w:rsid w:val="0099405A"/>
    <w:rsid w:val="009A02F6"/>
    <w:rsid w:val="009D0791"/>
    <w:rsid w:val="009E5F68"/>
    <w:rsid w:val="00A17E91"/>
    <w:rsid w:val="00A60835"/>
    <w:rsid w:val="00AB2E79"/>
    <w:rsid w:val="00AF3FEA"/>
    <w:rsid w:val="00AF6C6A"/>
    <w:rsid w:val="00B00445"/>
    <w:rsid w:val="00C202DE"/>
    <w:rsid w:val="00C35C9F"/>
    <w:rsid w:val="00CA40B6"/>
    <w:rsid w:val="00D32E14"/>
    <w:rsid w:val="00D42F75"/>
    <w:rsid w:val="00D61DD2"/>
    <w:rsid w:val="00D957E9"/>
    <w:rsid w:val="00DA54C0"/>
    <w:rsid w:val="00DA68F5"/>
    <w:rsid w:val="00DB1855"/>
    <w:rsid w:val="00E10815"/>
    <w:rsid w:val="00E241F7"/>
    <w:rsid w:val="00E52423"/>
    <w:rsid w:val="00E81CBB"/>
    <w:rsid w:val="00E8506A"/>
    <w:rsid w:val="00E9007E"/>
    <w:rsid w:val="00EC7BF5"/>
    <w:rsid w:val="00F51C94"/>
    <w:rsid w:val="00F700A0"/>
    <w:rsid w:val="00FA2017"/>
    <w:rsid w:val="00FD56DE"/>
    <w:rsid w:val="04CB2C4B"/>
    <w:rsid w:val="08BD1AAA"/>
    <w:rsid w:val="2FDF0928"/>
    <w:rsid w:val="3DFB8B00"/>
    <w:rsid w:val="42B38F22"/>
    <w:rsid w:val="617F8697"/>
    <w:rsid w:val="6D7D3508"/>
    <w:rsid w:val="6F7D1F2B"/>
    <w:rsid w:val="73D5E487"/>
    <w:rsid w:val="77974203"/>
    <w:rsid w:val="77DF4906"/>
    <w:rsid w:val="77FE6591"/>
    <w:rsid w:val="79EE8558"/>
    <w:rsid w:val="79FBEA00"/>
    <w:rsid w:val="7B7F3102"/>
    <w:rsid w:val="7DFF1443"/>
    <w:rsid w:val="7FE738C7"/>
    <w:rsid w:val="7FFACABC"/>
    <w:rsid w:val="B4BA289C"/>
    <w:rsid w:val="BB5FC38C"/>
    <w:rsid w:val="BFAA1761"/>
    <w:rsid w:val="DB6D1103"/>
    <w:rsid w:val="E7FB9E39"/>
    <w:rsid w:val="EDAF42C3"/>
    <w:rsid w:val="F3BC9635"/>
    <w:rsid w:val="F63D2FE5"/>
    <w:rsid w:val="FB79CEB7"/>
    <w:rsid w:val="FDBDCACB"/>
    <w:rsid w:val="FFC96136"/>
    <w:rsid w:val="FFDBC713"/>
    <w:rsid w:val="FFF3EC6E"/>
    <w:rsid w:val="FFFD8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0"/>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Char"/>
    <w:basedOn w:val="8"/>
    <w:link w:val="3"/>
    <w:semiHidden/>
    <w:qFormat/>
    <w:uiPriority w:val="99"/>
    <w:rPr>
      <w:rFonts w:ascii="Calibri" w:hAnsi="Calibri" w:eastAsia="宋体" w:cs="Times New Roman"/>
      <w:sz w:val="18"/>
      <w:szCs w:val="18"/>
    </w:rPr>
  </w:style>
  <w:style w:type="character" w:customStyle="1" w:styleId="11">
    <w:name w:val="页眉 Char"/>
    <w:basedOn w:val="8"/>
    <w:link w:val="5"/>
    <w:qFormat/>
    <w:uiPriority w:val="99"/>
    <w:rPr>
      <w:rFonts w:ascii="Calibri" w:hAnsi="Calibri" w:eastAsia="宋体" w:cs="Times New Roman"/>
      <w:kern w:val="2"/>
      <w:sz w:val="18"/>
      <w:szCs w:val="18"/>
    </w:rPr>
  </w:style>
  <w:style w:type="character" w:customStyle="1" w:styleId="12">
    <w:name w:val="页脚 Char"/>
    <w:basedOn w:val="8"/>
    <w:link w:val="4"/>
    <w:qFormat/>
    <w:uiPriority w:val="99"/>
    <w:rPr>
      <w:rFonts w:ascii="Calibri" w:hAnsi="Calibri" w:eastAsia="宋体" w:cs="Times New Roman"/>
      <w:kern w:val="2"/>
      <w:sz w:val="18"/>
      <w:szCs w:val="18"/>
    </w:rPr>
  </w:style>
  <w:style w:type="character" w:customStyle="1" w:styleId="13">
    <w:name w:val="批注文字 Char"/>
    <w:basedOn w:val="8"/>
    <w:link w:val="2"/>
    <w:semiHidden/>
    <w:qFormat/>
    <w:uiPriority w:val="99"/>
    <w:rPr>
      <w:rFonts w:ascii="Calibri" w:hAnsi="Calibri" w:eastAsia="宋体" w:cs="Times New Roman"/>
      <w:kern w:val="2"/>
      <w:sz w:val="21"/>
      <w:szCs w:val="24"/>
    </w:rPr>
  </w:style>
  <w:style w:type="character" w:customStyle="1" w:styleId="14">
    <w:name w:val="批注主题 Char"/>
    <w:basedOn w:val="13"/>
    <w:link w:val="6"/>
    <w:semiHidden/>
    <w:qFormat/>
    <w:uiPriority w:val="99"/>
    <w:rPr>
      <w:rFonts w:ascii="Calibri" w:hAnsi="Calibri" w:eastAsia="宋体" w:cs="Times New Roman"/>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1254</Words>
  <Characters>7150</Characters>
  <Lines>59</Lines>
  <Paragraphs>16</Paragraphs>
  <TotalTime>7</TotalTime>
  <ScaleCrop>false</ScaleCrop>
  <LinksUpToDate>false</LinksUpToDate>
  <CharactersWithSpaces>8388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2023-03-16T11:46:00Z</dcterms:created>
  <dc:creator>周舟</dc:creator>
  <cp:lastModifiedBy>administrator</cp:lastModifiedBy>
  <cp:lastPrinted>2023-03-17T12:21:00Z</cp:lastPrinted>
  <dcterms:modified xsi:type="dcterms:W3CDTF">2025-03-24T09:36:42Z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98D42419AF604A6AA4C876296F980977</vt:lpwstr>
  </property>
</Properties>
</file>