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ascii="Times New Roman" w:hAnsi="Times New Roman"/>
          <w:b/>
          <w:bCs/>
          <w:sz w:val="44"/>
          <w:szCs w:val="44"/>
        </w:rPr>
      </w:pPr>
      <w:r>
        <w:rPr>
          <w:rFonts w:hint="default" w:ascii="Times New Roman" w:hAnsi="Times New Roman"/>
          <w:b/>
          <w:bCs/>
          <w:sz w:val="44"/>
          <w:szCs w:val="44"/>
        </w:rPr>
        <w:t>2023年上半年江门市推动工业项目加快</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ascii="Times New Roman" w:hAnsi="Times New Roman"/>
          <w:b/>
          <w:bCs/>
          <w:sz w:val="44"/>
          <w:szCs w:val="44"/>
        </w:rPr>
      </w:pPr>
      <w:r>
        <w:rPr>
          <w:rFonts w:hint="default" w:ascii="Times New Roman" w:hAnsi="Times New Roman"/>
          <w:b/>
          <w:bCs/>
          <w:sz w:val="44"/>
          <w:szCs w:val="44"/>
        </w:rPr>
        <w:t>建设奖励</w:t>
      </w:r>
      <w:r>
        <w:rPr>
          <w:rFonts w:hint="default" w:ascii="Times New Roman" w:hAnsi="Times New Roman"/>
          <w:b/>
          <w:bCs/>
          <w:sz w:val="44"/>
          <w:szCs w:val="44"/>
          <w:lang w:eastAsia="zh-CN"/>
        </w:rPr>
        <w:t>资金</w:t>
      </w:r>
      <w:r>
        <w:rPr>
          <w:rFonts w:hint="default" w:ascii="Times New Roman" w:hAnsi="Times New Roman"/>
          <w:b/>
          <w:bCs/>
          <w:sz w:val="44"/>
          <w:szCs w:val="44"/>
        </w:rPr>
        <w:t>申报指南</w:t>
      </w:r>
    </w:p>
    <w:p>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default" w:ascii="Times New Roman" w:hAnsi="Times New Roman" w:eastAsia="宋体"/>
          <w:b/>
          <w:bCs/>
          <w:sz w:val="44"/>
          <w:szCs w:val="44"/>
          <w:lang w:val="en-US" w:eastAsia="zh-CN"/>
        </w:rPr>
      </w:pPr>
      <w:bookmarkStart w:id="0" w:name="_GoBack"/>
    </w:p>
    <w:p>
      <w:pPr>
        <w:keepNext w:val="0"/>
        <w:keepLines w:val="0"/>
        <w:pageBreakBefore w:val="0"/>
        <w:widowControl w:val="0"/>
        <w:kinsoku/>
        <w:wordWrap/>
        <w:overflowPunct/>
        <w:topLinePunct w:val="0"/>
        <w:autoSpaceDE/>
        <w:autoSpaceDN/>
        <w:bidi w:val="0"/>
        <w:adjustRightInd/>
        <w:snapToGrid w:val="0"/>
        <w:spacing w:line="560" w:lineRule="exact"/>
        <w:ind w:firstLine="640"/>
        <w:jc w:val="left"/>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为贯彻落实制造业当家工作部署，扎实推进工业项目加快建设，根据《江门市开好局起好步若干措施》</w:t>
      </w:r>
      <w:r>
        <w:rPr>
          <w:rFonts w:hint="default" w:ascii="Times New Roman" w:hAnsi="Times New Roman" w:eastAsia="仿宋_GB2312" w:cs="Times New Roman"/>
          <w:sz w:val="32"/>
          <w:szCs w:val="32"/>
        </w:rPr>
        <w:t>（江府〔2023〕8号）</w:t>
      </w:r>
      <w:r>
        <w:rPr>
          <w:rFonts w:hint="default" w:ascii="Times New Roman" w:hAnsi="Times New Roman" w:eastAsia="仿宋_GB2312" w:cs="Times New Roman"/>
          <w:b w:val="0"/>
          <w:bCs w:val="0"/>
          <w:sz w:val="32"/>
          <w:szCs w:val="32"/>
          <w:lang w:val="en-US" w:eastAsia="zh-CN"/>
        </w:rPr>
        <w:t>有关要求，结合我市实际，制定本申报指南。</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left="0" w:leftChars="0" w:firstLine="640" w:firstLineChars="0"/>
        <w:jc w:val="left"/>
        <w:textAlignment w:val="auto"/>
        <w:rPr>
          <w:rFonts w:hint="default" w:ascii="Times New Roman" w:hAnsi="Times New Roman" w:eastAsia="方正黑体简体" w:cs="Times New Roman"/>
          <w:b w:val="0"/>
          <w:bCs w:val="0"/>
          <w:sz w:val="32"/>
          <w:szCs w:val="32"/>
          <w:lang w:val="en-US" w:eastAsia="zh-CN"/>
        </w:rPr>
      </w:pPr>
      <w:r>
        <w:rPr>
          <w:rFonts w:hint="default" w:ascii="Times New Roman" w:hAnsi="Times New Roman" w:eastAsia="方正黑体简体" w:cs="Times New Roman"/>
          <w:b w:val="0"/>
          <w:bCs w:val="0"/>
          <w:sz w:val="32"/>
          <w:szCs w:val="32"/>
          <w:lang w:val="en-US" w:eastAsia="zh-CN"/>
        </w:rPr>
        <w:t>申报条件</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40" w:firstLineChars="0"/>
        <w:jc w:val="left"/>
        <w:textAlignment w:val="auto"/>
        <w:rPr>
          <w:rFonts w:hint="default" w:ascii="Times New Roman" w:hAnsi="Times New Roman" w:eastAsia="方正黑体简体"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（一）项目单位已在江门市办理工商、税务登记，具有健全的财务管理制度。</w:t>
      </w:r>
    </w:p>
    <w:p>
      <w:pPr>
        <w:keepNext w:val="0"/>
        <w:keepLines w:val="0"/>
        <w:pageBreakBefore w:val="0"/>
        <w:widowControl w:val="0"/>
        <w:numPr>
          <w:ilvl w:val="-1"/>
          <w:numId w:val="0"/>
        </w:numPr>
        <w:kinsoku/>
        <w:wordWrap/>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（二）项目实施地在江门市内，并已取得投资主管部门核准或备案等立项文件。</w:t>
      </w:r>
      <w:r>
        <w:rPr>
          <w:rFonts w:hint="default" w:ascii="Times New Roman" w:hAnsi="Times New Roman" w:eastAsia="仿宋_GB2312" w:cs="Times New Roman"/>
          <w:sz w:val="32"/>
          <w:szCs w:val="32"/>
        </w:rPr>
        <w:t>其中，对于采矿业项目，要求《采矿许可证》等证照齐全，同时没有超层越界等违法开采行为。</w:t>
      </w:r>
    </w:p>
    <w:p>
      <w:pPr>
        <w:keepNext w:val="0"/>
        <w:keepLines w:val="0"/>
        <w:pageBreakBefore w:val="0"/>
        <w:widowControl w:val="0"/>
        <w:numPr>
          <w:ilvl w:val="-1"/>
          <w:numId w:val="0"/>
        </w:numPr>
        <w:kinsoku/>
        <w:wordWrap/>
        <w:overflowPunct/>
        <w:topLinePunct w:val="0"/>
        <w:autoSpaceDE/>
        <w:autoSpaceDN/>
        <w:bidi w:val="0"/>
        <w:adjustRightInd/>
        <w:snapToGrid w:val="0"/>
        <w:spacing w:line="560" w:lineRule="exact"/>
        <w:ind w:left="640" w:leftChars="0" w:firstLine="0" w:firstLineChars="0"/>
        <w:jc w:val="left"/>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（三）项目立项总投资不低于5亿元（含）。</w:t>
      </w:r>
    </w:p>
    <w:p>
      <w:pPr>
        <w:pStyle w:val="2"/>
        <w:pageBreakBefore w:val="0"/>
        <w:widowControl w:val="0"/>
        <w:numPr>
          <w:ilvl w:val="0"/>
          <w:numId w:val="0"/>
        </w:numPr>
        <w:kinsoku/>
        <w:overflowPunct/>
        <w:topLinePunct w:val="0"/>
        <w:autoSpaceDE/>
        <w:autoSpaceDN/>
        <w:bidi w:val="0"/>
        <w:adjustRightInd/>
        <w:snapToGrid w:val="0"/>
        <w:spacing w:before="0" w:beforeLines="0" w:after="0" w:afterLines="0" w:line="560" w:lineRule="exact"/>
        <w:ind w:firstLine="640" w:firstLineChars="200"/>
        <w:textAlignment w:val="auto"/>
        <w:rPr>
          <w:rFonts w:hint="default" w:ascii="Times New Roman" w:hAnsi="Times New Roman"/>
          <w:highlight w:val="none"/>
          <w:lang w:val="en-US" w:eastAsia="zh-CN"/>
        </w:rPr>
      </w:pPr>
      <w:r>
        <w:rPr>
          <w:rFonts w:hint="default" w:ascii="Times New Roman" w:hAnsi="Times New Roman" w:eastAsia="仿宋_GB2312" w:cs="Times New Roman"/>
          <w:b w:val="0"/>
          <w:bCs w:val="0"/>
          <w:sz w:val="32"/>
          <w:szCs w:val="32"/>
          <w:highlight w:val="none"/>
          <w:lang w:val="en-US" w:eastAsia="zh-CN"/>
        </w:rPr>
        <w:t>（四）</w:t>
      </w:r>
      <w:r>
        <w:rPr>
          <w:rFonts w:hint="default" w:ascii="Times New Roman" w:hAnsi="Times New Roman" w:eastAsia="仿宋_GB2312" w:cs="Times New Roman"/>
          <w:b w:val="0"/>
          <w:bCs w:val="0"/>
          <w:sz w:val="32"/>
          <w:szCs w:val="32"/>
          <w:highlight w:val="none"/>
        </w:rPr>
        <w:t>项目属于政府公开出让的工业用地或采矿项目，且摘牌时间在2023 年1 月1 日至2023年6月30 日期间。</w:t>
      </w:r>
    </w:p>
    <w:p>
      <w:pPr>
        <w:keepNext w:val="0"/>
        <w:keepLines w:val="0"/>
        <w:pageBreakBefore w:val="0"/>
        <w:numPr>
          <w:ilvl w:val="0"/>
          <w:numId w:val="0"/>
        </w:numPr>
        <w:kinsoku/>
        <w:wordWrap w:val="0"/>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（五）项目行业类型属国民经济行业分类（GB/T4754-2017）中“B采矿业”“C制造业”“D电力、热力、燃气及水生产和供应业”；项目投资应按规定纳入工业投资统计。</w:t>
      </w:r>
    </w:p>
    <w:p>
      <w:pPr>
        <w:keepNext w:val="0"/>
        <w:keepLines w:val="0"/>
        <w:pageBreakBefore w:val="0"/>
        <w:numPr>
          <w:ilvl w:val="0"/>
          <w:numId w:val="0"/>
        </w:numPr>
        <w:kinsoku/>
        <w:wordWrap w:val="0"/>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（六）项目从土地摘牌后的三个月内已开工建设并形成实物量投资，且已纳入统计的工业投资不低于5000万元（含）。</w:t>
      </w:r>
    </w:p>
    <w:p>
      <w:pPr>
        <w:pageBreakBefore w:val="0"/>
        <w:widowControl w:val="0"/>
        <w:kinsoku/>
        <w:overflowPunct/>
        <w:topLinePunct w:val="0"/>
        <w:autoSpaceDE/>
        <w:autoSpaceDN/>
        <w:bidi w:val="0"/>
        <w:adjustRightInd/>
        <w:snapToGrid w:val="0"/>
        <w:spacing w:line="560" w:lineRule="exact"/>
        <w:ind w:firstLine="640"/>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（七）项目单位近三年信用良好（没有被列入严重失信主体名单的），未发生重大安全、环保、质量事故。</w:t>
      </w:r>
    </w:p>
    <w:p>
      <w:pPr>
        <w:pStyle w:val="2"/>
        <w:pageBreakBefore w:val="0"/>
        <w:widowControl w:val="0"/>
        <w:kinsoku/>
        <w:overflowPunct/>
        <w:topLinePunct w:val="0"/>
        <w:autoSpaceDE/>
        <w:autoSpaceDN/>
        <w:bidi w:val="0"/>
        <w:adjustRightInd/>
        <w:snapToGrid w:val="0"/>
        <w:spacing w:before="0" w:beforeLines="0" w:after="0" w:afterLines="0" w:line="560" w:lineRule="exact"/>
        <w:ind w:firstLine="640" w:firstLineChars="200"/>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（八）项目所属的县（市、区）政府明确的其他条件。</w:t>
      </w:r>
    </w:p>
    <w:p>
      <w:pPr>
        <w:pStyle w:val="2"/>
        <w:pageBreakBefore w:val="0"/>
        <w:widowControl w:val="0"/>
        <w:kinsoku/>
        <w:overflowPunct/>
        <w:topLinePunct w:val="0"/>
        <w:autoSpaceDE/>
        <w:autoSpaceDN/>
        <w:bidi w:val="0"/>
        <w:adjustRightInd/>
        <w:snapToGrid w:val="0"/>
        <w:spacing w:before="0" w:beforeLines="0" w:after="0" w:afterLines="0" w:line="560" w:lineRule="exact"/>
        <w:ind w:firstLine="640"/>
        <w:textAlignment w:val="auto"/>
        <w:rPr>
          <w:rFonts w:hint="default" w:ascii="Times New Roman" w:hAnsi="Times New Roman" w:eastAsia="方正黑体简体" w:cs="Times New Roman"/>
          <w:b w:val="0"/>
          <w:bCs w:val="0"/>
          <w:kern w:val="2"/>
          <w:sz w:val="32"/>
          <w:szCs w:val="32"/>
          <w:lang w:val="en-US" w:eastAsia="zh-CN" w:bidi="ar-SA"/>
        </w:rPr>
      </w:pPr>
      <w:r>
        <w:rPr>
          <w:rFonts w:hint="default" w:ascii="Times New Roman" w:hAnsi="Times New Roman" w:eastAsia="方正黑体简体" w:cs="Times New Roman"/>
          <w:b w:val="0"/>
          <w:bCs w:val="0"/>
          <w:kern w:val="2"/>
          <w:sz w:val="32"/>
          <w:szCs w:val="32"/>
          <w:lang w:val="en-US" w:eastAsia="zh-CN" w:bidi="ar-SA"/>
        </w:rPr>
        <w:t>二、奖补方式和标准</w:t>
      </w:r>
    </w:p>
    <w:p>
      <w:pPr>
        <w:pageBreakBefore w:val="0"/>
        <w:kinsoku/>
        <w:overflowPunct/>
        <w:topLinePunct w:val="0"/>
        <w:autoSpaceDE/>
        <w:autoSpaceDN/>
        <w:bidi w:val="0"/>
        <w:adjustRightInd/>
        <w:snapToGrid w:val="0"/>
        <w:spacing w:line="560" w:lineRule="exact"/>
        <w:ind w:firstLine="640"/>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给予一次性奖励50万元。</w:t>
      </w:r>
    </w:p>
    <w:p>
      <w:pPr>
        <w:keepNext w:val="0"/>
        <w:keepLines w:val="0"/>
        <w:pageBreakBefore w:val="0"/>
        <w:widowControl/>
        <w:kinsoku/>
        <w:wordWrap/>
        <w:overflowPunct/>
        <w:topLinePunct w:val="0"/>
        <w:autoSpaceDE/>
        <w:autoSpaceDN/>
        <w:bidi w:val="0"/>
        <w:adjustRightInd/>
        <w:snapToGrid w:val="0"/>
        <w:spacing w:line="560" w:lineRule="exact"/>
        <w:ind w:firstLine="640" w:firstLineChars="200"/>
        <w:textAlignment w:val="auto"/>
        <w:rPr>
          <w:rFonts w:hint="eastAsia" w:ascii="Times New Roman" w:hAnsi="Times New Roman" w:eastAsia="黑体"/>
          <w:color w:val="auto"/>
          <w:kern w:val="2"/>
          <w:sz w:val="32"/>
          <w:szCs w:val="32"/>
          <w:lang w:eastAsia="zh-CN"/>
        </w:rPr>
      </w:pPr>
      <w:r>
        <w:rPr>
          <w:rFonts w:hint="eastAsia" w:ascii="Times New Roman" w:hAnsi="Times New Roman" w:eastAsia="黑体"/>
          <w:color w:val="auto"/>
          <w:kern w:val="2"/>
          <w:sz w:val="32"/>
          <w:szCs w:val="32"/>
          <w:lang w:eastAsia="zh-CN"/>
        </w:rPr>
        <w:t>三、申报程序</w:t>
      </w:r>
    </w:p>
    <w:p>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2023年上半年江门市推动工业项目加快建设奖励资金申报程序如下：</w:t>
      </w:r>
    </w:p>
    <w:p>
      <w:pPr>
        <w:keepNext w:val="0"/>
        <w:keepLines w:val="0"/>
        <w:pageBreakBefore w:val="0"/>
        <w:widowControl/>
        <w:numPr>
          <w:ilvl w:val="0"/>
          <w:numId w:val="2"/>
        </w:numPr>
        <w:kinsoku/>
        <w:wordWrap/>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江门市工业和信息化局制定申报通知并向社会公开发布。</w:t>
      </w:r>
    </w:p>
    <w:p>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各县（市、区）工业和信息化部门结合实际发布本地区年度申报通知，联合属地招商、发改、自然资源等部门梳理拟奖励项目清单，按照属地管理原则组织和发动本地区企业项目申报。</w:t>
      </w:r>
    </w:p>
    <w:p>
      <w:pPr>
        <w:keepNext w:val="0"/>
        <w:keepLines w:val="0"/>
        <w:pageBreakBefore w:val="0"/>
        <w:widowControl/>
        <w:numPr>
          <w:ilvl w:val="0"/>
          <w:numId w:val="2"/>
        </w:numPr>
        <w:kinsoku/>
        <w:wordWrap/>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企业通过“江门市惠企利民服务平台”（网址https://jht.jiangmen.gov.cn/#/home，简称“江惠通”）向所在地工业和信息化部门提交申请材料，具体以申报通知为准。</w:t>
      </w:r>
    </w:p>
    <w:p>
      <w:pPr>
        <w:keepNext w:val="0"/>
        <w:keepLines w:val="0"/>
        <w:pageBreakBefore w:val="0"/>
        <w:widowControl/>
        <w:numPr>
          <w:ilvl w:val="0"/>
          <w:numId w:val="2"/>
        </w:numPr>
        <w:kinsoku/>
        <w:wordWrap/>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各县（市、区）工业和信息化部门受理企业提交的申请资料，对项目进行符合性审查，必要时需函询其他职能部门意见。</w:t>
      </w:r>
    </w:p>
    <w:p>
      <w:pPr>
        <w:keepNext w:val="0"/>
        <w:keepLines w:val="0"/>
        <w:pageBreakBefore w:val="0"/>
        <w:widowControl/>
        <w:numPr>
          <w:ilvl w:val="0"/>
          <w:numId w:val="2"/>
        </w:numPr>
        <w:kinsoku/>
        <w:wordWrap/>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各县（市、区）工业和信息化部门拟奖励的项目经本部门党组集体研究审议通过后，编制本地区</w:t>
      </w:r>
      <w:r>
        <w:rPr>
          <w:rFonts w:hint="default" w:ascii="Times New Roman" w:hAnsi="Times New Roman" w:eastAsia="仿宋_GB2312" w:cs="Times New Roman"/>
          <w:sz w:val="32"/>
          <w:szCs w:val="32"/>
        </w:rPr>
        <w:t>推动工业项目加快建设奖励资金</w:t>
      </w:r>
      <w:r>
        <w:rPr>
          <w:rFonts w:hint="default" w:ascii="Times New Roman" w:hAnsi="Times New Roman" w:eastAsia="仿宋_GB2312" w:cs="Times New Roman"/>
          <w:b w:val="0"/>
          <w:bCs w:val="0"/>
          <w:kern w:val="2"/>
          <w:sz w:val="32"/>
          <w:szCs w:val="32"/>
          <w:lang w:val="en-US" w:eastAsia="zh-CN" w:bidi="ar-SA"/>
        </w:rPr>
        <w:t>目计划，并对项目计划进行公示，公示期不少于7 日，公示无异议的，将项目计划和本部门同意推荐上报公文一并报江门市工业和信息化局，公示有异议的，根据异议内容进行核实处理。</w:t>
      </w:r>
    </w:p>
    <w:p>
      <w:pPr>
        <w:keepNext w:val="0"/>
        <w:keepLines w:val="0"/>
        <w:pageBreakBefore w:val="0"/>
        <w:widowControl/>
        <w:numPr>
          <w:ilvl w:val="0"/>
          <w:numId w:val="2"/>
        </w:numPr>
        <w:kinsoku/>
        <w:wordWrap/>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江门市工业和信息化局根据市级工业扶持专项资金管理办法有关要求，对各县（市、区）上报项目进行复核，编制市、县（区）两级推动工业项目加快建设奖励资金项目计划。</w:t>
      </w:r>
    </w:p>
    <w:p>
      <w:pPr>
        <w:keepNext w:val="0"/>
        <w:keepLines w:val="0"/>
        <w:pageBreakBefore w:val="0"/>
        <w:widowControl/>
        <w:numPr>
          <w:ilvl w:val="0"/>
          <w:numId w:val="2"/>
        </w:numPr>
        <w:kinsoku/>
        <w:wordWrap/>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江门市工业和信息化局对经审定的推动工业项目加快建设奖励资金项目计划予以公示，公示期为7 日，公示无异议的，对各县（市、区）下达资金项目计划，公示有异议的，根据异议内容进行核实处理。</w:t>
      </w:r>
    </w:p>
    <w:p>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lang w:val="en-US" w:eastAsia="zh-CN"/>
        </w:rPr>
      </w:pPr>
      <w:r>
        <w:rPr>
          <w:rFonts w:hint="default" w:ascii="Times New Roman" w:hAnsi="Times New Roman" w:eastAsia="仿宋_GB2312" w:cs="Times New Roman"/>
          <w:b w:val="0"/>
          <w:bCs w:val="0"/>
          <w:kern w:val="2"/>
          <w:sz w:val="32"/>
          <w:szCs w:val="32"/>
          <w:lang w:val="en-US" w:eastAsia="zh-CN" w:bidi="ar-SA"/>
        </w:rPr>
        <w:t>（七）市、县（区）两级相关部门依据有关程序及时将奖励资金拨付到企业。</w:t>
      </w:r>
    </w:p>
    <w:p>
      <w:pPr>
        <w:keepNext w:val="0"/>
        <w:keepLines w:val="0"/>
        <w:pageBreakBefore w:val="0"/>
        <w:widowControl/>
        <w:kinsoku/>
        <w:wordWrap/>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黑体"/>
          <w:color w:val="auto"/>
          <w:kern w:val="2"/>
          <w:sz w:val="32"/>
          <w:szCs w:val="32"/>
          <w:lang w:val="en-US" w:eastAsia="zh-CN"/>
        </w:rPr>
      </w:pPr>
      <w:r>
        <w:rPr>
          <w:rFonts w:hint="eastAsia" w:ascii="Times New Roman" w:hAnsi="Times New Roman" w:eastAsia="黑体"/>
          <w:color w:val="auto"/>
          <w:kern w:val="2"/>
          <w:sz w:val="32"/>
          <w:szCs w:val="32"/>
          <w:lang w:val="en-US" w:eastAsia="zh-CN"/>
        </w:rPr>
        <w:t>四、申请资料</w:t>
      </w:r>
    </w:p>
    <w:p>
      <w:pPr>
        <w:pStyle w:val="2"/>
        <w:pageBreakBefore w:val="0"/>
        <w:kinsoku/>
        <w:overflowPunct/>
        <w:topLinePunct w:val="0"/>
        <w:autoSpaceDE/>
        <w:autoSpaceDN/>
        <w:bidi w:val="0"/>
        <w:adjustRightInd/>
        <w:snapToGrid w:val="0"/>
        <w:spacing w:before="0" w:beforeLines="0" w:after="0" w:afterLines="0" w:line="560" w:lineRule="exact"/>
        <w:ind w:firstLine="64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（一）奖励资金申请表。</w:t>
      </w:r>
    </w:p>
    <w:p>
      <w:pPr>
        <w:pageBreakBefore w:val="0"/>
        <w:kinsoku/>
        <w:overflowPunct/>
        <w:topLinePunct w:val="0"/>
        <w:autoSpaceDE/>
        <w:autoSpaceDN/>
        <w:bidi w:val="0"/>
        <w:adjustRightInd/>
        <w:snapToGrid w:val="0"/>
        <w:spacing w:line="560" w:lineRule="exact"/>
        <w:ind w:firstLine="64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（二）项目单位营业执照复印件。</w:t>
      </w:r>
    </w:p>
    <w:p>
      <w:pPr>
        <w:pageBreakBefore w:val="0"/>
        <w:kinsoku/>
        <w:overflowPunct/>
        <w:topLinePunct w:val="0"/>
        <w:autoSpaceDE/>
        <w:autoSpaceDN/>
        <w:bidi w:val="0"/>
        <w:adjustRightInd/>
        <w:snapToGrid w:val="0"/>
        <w:spacing w:line="560" w:lineRule="exact"/>
        <w:ind w:firstLine="64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（三）项目实施地投资主管部门核准或备案等立项文件。</w:t>
      </w:r>
    </w:p>
    <w:p>
      <w:pPr>
        <w:pageBreakBefore w:val="0"/>
        <w:kinsoku/>
        <w:overflowPunct/>
        <w:topLinePunct w:val="0"/>
        <w:autoSpaceDE/>
        <w:autoSpaceDN/>
        <w:bidi w:val="0"/>
        <w:adjustRightInd/>
        <w:snapToGrid w:val="0"/>
        <w:spacing w:line="560" w:lineRule="exact"/>
        <w:ind w:firstLine="64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（四）项目</w:t>
      </w:r>
      <w:r>
        <w:rPr>
          <w:rFonts w:hint="default" w:ascii="Times New Roman" w:hAnsi="Times New Roman" w:eastAsia="仿宋_GB2312" w:cs="Times New Roman"/>
          <w:b w:val="0"/>
          <w:bCs w:val="0"/>
          <w:sz w:val="32"/>
          <w:szCs w:val="32"/>
        </w:rPr>
        <w:t>项目从土地摘牌后的三个月内</w:t>
      </w:r>
      <w:r>
        <w:rPr>
          <w:rFonts w:hint="default" w:ascii="Times New Roman" w:hAnsi="Times New Roman" w:eastAsia="仿宋_GB2312" w:cs="Times New Roman"/>
          <w:b w:val="0"/>
          <w:bCs w:val="0"/>
          <w:kern w:val="2"/>
          <w:sz w:val="32"/>
          <w:szCs w:val="32"/>
          <w:lang w:val="en-US" w:eastAsia="zh-CN" w:bidi="ar-SA"/>
        </w:rPr>
        <w:t>实际完成5000万元以上固定资产投资情况及有关证明材料（包括但不限于项目固定资产投资清单、发票、工程进度单、统计联网直报平台报数凭证等）。</w:t>
      </w:r>
    </w:p>
    <w:p>
      <w:pPr>
        <w:pageBreakBefore w:val="0"/>
        <w:kinsoku/>
        <w:overflowPunct/>
        <w:topLinePunct w:val="0"/>
        <w:autoSpaceDE/>
        <w:autoSpaceDN/>
        <w:bidi w:val="0"/>
        <w:adjustRightInd/>
        <w:snapToGrid w:val="0"/>
        <w:spacing w:line="560" w:lineRule="exact"/>
        <w:ind w:firstLine="64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（五）能反映项目投资真实性的现场照片（共5张）。</w:t>
      </w:r>
    </w:p>
    <w:p>
      <w:pPr>
        <w:pStyle w:val="2"/>
        <w:pageBreakBefore w:val="0"/>
        <w:kinsoku/>
        <w:overflowPunct/>
        <w:topLinePunct w:val="0"/>
        <w:autoSpaceDE/>
        <w:autoSpaceDN/>
        <w:bidi w:val="0"/>
        <w:adjustRightInd/>
        <w:snapToGrid w:val="0"/>
        <w:spacing w:before="0" w:beforeLines="0" w:after="0" w:afterLines="0" w:line="560" w:lineRule="exact"/>
        <w:ind w:firstLine="64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（六）</w:t>
      </w:r>
      <w:r>
        <w:rPr>
          <w:rFonts w:hint="default" w:ascii="Times New Roman" w:hAnsi="Times New Roman" w:eastAsia="仿宋_GB2312" w:cs="Times New Roman"/>
          <w:b w:val="0"/>
          <w:bCs w:val="0"/>
          <w:sz w:val="32"/>
          <w:szCs w:val="32"/>
        </w:rPr>
        <w:t>土地或采矿权成交确认书</w:t>
      </w:r>
      <w:r>
        <w:rPr>
          <w:rFonts w:hint="default" w:ascii="Times New Roman" w:hAnsi="Times New Roman" w:eastAsia="仿宋_GB2312" w:cs="Times New Roman"/>
          <w:b w:val="0"/>
          <w:bCs w:val="0"/>
          <w:kern w:val="2"/>
          <w:sz w:val="32"/>
          <w:szCs w:val="32"/>
          <w:lang w:val="en-US" w:eastAsia="zh-CN" w:bidi="ar-SA"/>
        </w:rPr>
        <w:t>。</w:t>
      </w:r>
    </w:p>
    <w:p>
      <w:pPr>
        <w:pStyle w:val="2"/>
        <w:pageBreakBefore w:val="0"/>
        <w:kinsoku/>
        <w:overflowPunct/>
        <w:topLinePunct w:val="0"/>
        <w:autoSpaceDE/>
        <w:autoSpaceDN/>
        <w:bidi w:val="0"/>
        <w:adjustRightInd/>
        <w:snapToGrid w:val="0"/>
        <w:spacing w:before="0" w:beforeLines="0" w:after="0" w:afterLines="0" w:line="560" w:lineRule="exact"/>
        <w:ind w:firstLine="64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（七）属于采矿业的项目，还需提供采矿许可证等特许经营许可证件。</w:t>
      </w:r>
    </w:p>
    <w:p>
      <w:pPr>
        <w:pageBreakBefore w:val="0"/>
        <w:kinsoku/>
        <w:overflowPunct/>
        <w:topLinePunct w:val="0"/>
        <w:autoSpaceDE/>
        <w:autoSpaceDN/>
        <w:bidi w:val="0"/>
        <w:adjustRightInd/>
        <w:snapToGrid w:val="0"/>
        <w:spacing w:line="560" w:lineRule="exact"/>
        <w:textAlignment w:val="auto"/>
        <w:rPr>
          <w:rFonts w:hint="eastAsia" w:ascii="Times New Roman" w:hAnsi="Times New Roman" w:eastAsia="黑体"/>
          <w:color w:val="auto"/>
          <w:kern w:val="2"/>
          <w:sz w:val="32"/>
          <w:szCs w:val="32"/>
          <w:lang w:val="en-US" w:eastAsia="zh-CN"/>
        </w:rPr>
      </w:pPr>
      <w:r>
        <w:rPr>
          <w:rFonts w:hint="default" w:ascii="Times New Roman" w:hAnsi="Times New Roman"/>
          <w:lang w:val="en-US" w:eastAsia="zh-CN"/>
        </w:rPr>
        <w:t xml:space="preserve">      </w:t>
      </w:r>
      <w:r>
        <w:rPr>
          <w:rFonts w:hint="eastAsia" w:ascii="Times New Roman" w:hAnsi="Times New Roman" w:eastAsia="黑体"/>
          <w:color w:val="auto"/>
          <w:kern w:val="2"/>
          <w:sz w:val="32"/>
          <w:szCs w:val="32"/>
          <w:lang w:val="en-US" w:eastAsia="zh-CN"/>
        </w:rPr>
        <w:t xml:space="preserve"> 五、其他说明事项</w:t>
      </w:r>
    </w:p>
    <w:p>
      <w:pPr>
        <w:pStyle w:val="2"/>
        <w:pageBreakBefore w:val="0"/>
        <w:kinsoku/>
        <w:overflowPunct/>
        <w:topLinePunct w:val="0"/>
        <w:autoSpaceDE/>
        <w:autoSpaceDN/>
        <w:bidi w:val="0"/>
        <w:adjustRightInd/>
        <w:snapToGrid w:val="0"/>
        <w:spacing w:before="0" w:beforeLines="0" w:after="0" w:afterLines="0" w:line="56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（一）摘牌时间</w:t>
      </w:r>
      <w:r>
        <w:rPr>
          <w:rFonts w:hint="default" w:ascii="Times New Roman" w:hAnsi="Times New Roman" w:eastAsia="仿宋_GB2312" w:cs="Times New Roman"/>
          <w:b w:val="0"/>
          <w:bCs w:val="0"/>
          <w:sz w:val="32"/>
          <w:szCs w:val="32"/>
        </w:rPr>
        <w:t>以签订土地或采矿权成交确认书之日起计算</w:t>
      </w:r>
      <w:r>
        <w:rPr>
          <w:rFonts w:hint="default" w:ascii="Times New Roman" w:hAnsi="Times New Roman" w:eastAsia="仿宋_GB2312" w:cs="Times New Roman"/>
          <w:b w:val="0"/>
          <w:bCs w:val="0"/>
          <w:kern w:val="2"/>
          <w:sz w:val="32"/>
          <w:szCs w:val="32"/>
          <w:lang w:val="en-US" w:eastAsia="zh-CN" w:bidi="ar-SA"/>
        </w:rPr>
        <w:t>。</w:t>
      </w:r>
    </w:p>
    <w:p>
      <w:pPr>
        <w:pageBreakBefore w:val="0"/>
        <w:kinsoku/>
        <w:overflowPunct/>
        <w:topLinePunct w:val="0"/>
        <w:autoSpaceDE/>
        <w:autoSpaceDN/>
        <w:bidi w:val="0"/>
        <w:adjustRightInd/>
        <w:snapToGrid w:val="0"/>
        <w:spacing w:line="560" w:lineRule="exact"/>
        <w:textAlignment w:val="auto"/>
        <w:rPr>
          <w:rFonts w:hint="default" w:ascii="Times New Roman" w:hAnsi="Times New Roman"/>
          <w:lang w:val="en-US" w:eastAsia="zh-CN"/>
        </w:rPr>
      </w:pPr>
      <w:r>
        <w:rPr>
          <w:rFonts w:hint="default" w:ascii="Times New Roman" w:hAnsi="Times New Roman" w:eastAsia="仿宋_GB2312" w:cs="Times New Roman"/>
          <w:b w:val="0"/>
          <w:bCs w:val="0"/>
          <w:kern w:val="2"/>
          <w:sz w:val="32"/>
          <w:szCs w:val="32"/>
          <w:lang w:val="en-US" w:eastAsia="zh-CN" w:bidi="ar-SA"/>
        </w:rPr>
        <w:t xml:space="preserve">    （二）项目完成投资5000万元以上（含）的时间节点以项目在统计联网直报平台上填报的累计工业固定资产投资额首次达到5000万元的时间为准。</w:t>
      </w:r>
    </w:p>
    <w:p>
      <w:pPr>
        <w:pageBreakBefore w:val="0"/>
        <w:kinsoku/>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（三）本指南涉及的补贴均为一次性补贴，扶持资金由市财政与蓬江区、江海区、新会区分别按税收分成比例分担，与台山市、开平市、恩平市、鹤山市分别按2:8比例分担。</w:t>
      </w:r>
    </w:p>
    <w:p>
      <w:pPr>
        <w:pageBreakBefore w:val="0"/>
        <w:kinsoku/>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（四）按照“谁申报、谁负责”的原则，申报单位均需要对所提交的项目申报资料的真实性、完整性、有效性负责。</w:t>
      </w:r>
    </w:p>
    <w:p>
      <w:pPr>
        <w:pageBreakBefore w:val="0"/>
        <w:kinsoku/>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val="0"/>
          <w:bCs w:val="0"/>
          <w:kern w:val="2"/>
          <w:sz w:val="32"/>
          <w:szCs w:val="32"/>
          <w:lang w:val="en-US" w:eastAsia="zh-CN" w:bidi="ar-SA"/>
        </w:rPr>
        <w:t>（五）经查实申报单位有骗取、套取财政资金行为的，停止拨付财政资助资金，追缴已拨付的财政资助资金，取消单位3年内申报财政资助资金的资格。构成犯罪的，移交司法机关依法追究刑事责任。</w:t>
      </w:r>
    </w:p>
    <w:p>
      <w:pPr>
        <w:pageBreakBefore w:val="0"/>
        <w:kinsoku/>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p>
    <w:p>
      <w:pPr>
        <w:pageBreakBefore w:val="0"/>
        <w:kinsoku/>
        <w:overflowPunct/>
        <w:topLinePunct w:val="0"/>
        <w:autoSpaceDE/>
        <w:autoSpaceDN/>
        <w:bidi w:val="0"/>
        <w:adjustRightInd/>
        <w:snapToGrid w:val="0"/>
        <w:spacing w:line="560" w:lineRule="exact"/>
        <w:textAlignment w:val="auto"/>
        <w:rPr>
          <w:rFonts w:hint="default" w:ascii="Times New Roman" w:hAnsi="Times New Roman"/>
          <w:lang w:val="en-US" w:eastAsia="zh-CN"/>
        </w:rPr>
      </w:pPr>
    </w:p>
    <w:p>
      <w:pPr>
        <w:pageBreakBefore w:val="0"/>
        <w:kinsoku/>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p>
    <w:p>
      <w:pPr>
        <w:pageBreakBefore w:val="0"/>
        <w:kinsoku/>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仿宋_GB2312" w:cs="Times New Roman"/>
          <w:b w:val="0"/>
          <w:bCs w:val="0"/>
          <w:kern w:val="2"/>
          <w:sz w:val="32"/>
          <w:szCs w:val="32"/>
          <w:lang w:val="en-US" w:eastAsia="zh-CN" w:bidi="ar-SA"/>
        </w:rPr>
      </w:pPr>
    </w:p>
    <w:p>
      <w:pPr>
        <w:pageBreakBefore w:val="0"/>
        <w:widowControl/>
        <w:kinsoku/>
        <w:overflowPunct/>
        <w:topLinePunct w:val="0"/>
        <w:autoSpaceDE/>
        <w:autoSpaceDN/>
        <w:bidi w:val="0"/>
        <w:adjustRightInd/>
        <w:snapToGrid w:val="0"/>
        <w:spacing w:line="560" w:lineRule="exact"/>
        <w:jc w:val="left"/>
        <w:textAlignment w:val="auto"/>
        <w:rPr>
          <w:rFonts w:hint="default" w:ascii="Times New Roman" w:hAnsi="Times New Roman" w:eastAsia="宋体"/>
          <w:kern w:val="0"/>
          <w:szCs w:val="21"/>
          <w:lang w:val="en-US" w:eastAsia="zh-CN"/>
        </w:rPr>
      </w:pPr>
    </w:p>
    <w:bookmarkEnd w:id="0"/>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黑体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49732B"/>
    <w:multiLevelType w:val="singleLevel"/>
    <w:tmpl w:val="9249732B"/>
    <w:lvl w:ilvl="0" w:tentative="0">
      <w:start w:val="1"/>
      <w:numFmt w:val="chineseCounting"/>
      <w:suff w:val="nothing"/>
      <w:lvlText w:val="（%1）"/>
      <w:lvlJc w:val="left"/>
      <w:rPr>
        <w:rFonts w:hint="eastAsia"/>
      </w:rPr>
    </w:lvl>
  </w:abstractNum>
  <w:abstractNum w:abstractNumId="1">
    <w:nsid w:val="7CF80767"/>
    <w:multiLevelType w:val="singleLevel"/>
    <w:tmpl w:val="7CF80767"/>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13BF41E0"/>
    <w:rsid w:val="1AFE03BF"/>
    <w:rsid w:val="1F577752"/>
    <w:rsid w:val="1FE66ECD"/>
    <w:rsid w:val="1FFF7497"/>
    <w:rsid w:val="21CBEBDB"/>
    <w:rsid w:val="278FEFF2"/>
    <w:rsid w:val="2A7BAF2D"/>
    <w:rsid w:val="2BC8973E"/>
    <w:rsid w:val="2DAED011"/>
    <w:rsid w:val="2ED5CD8D"/>
    <w:rsid w:val="31940F0B"/>
    <w:rsid w:val="357309DE"/>
    <w:rsid w:val="39FBB95F"/>
    <w:rsid w:val="3BFD7734"/>
    <w:rsid w:val="3BFFE885"/>
    <w:rsid w:val="3D3EBD83"/>
    <w:rsid w:val="3DFFA8D0"/>
    <w:rsid w:val="3E6FD451"/>
    <w:rsid w:val="3EAB0813"/>
    <w:rsid w:val="3EBFDC39"/>
    <w:rsid w:val="3EFB0A34"/>
    <w:rsid w:val="3F3D48B2"/>
    <w:rsid w:val="3FAC1440"/>
    <w:rsid w:val="3FAE3FF5"/>
    <w:rsid w:val="3FEB0E05"/>
    <w:rsid w:val="3FFF07B1"/>
    <w:rsid w:val="3FFFB534"/>
    <w:rsid w:val="47EEC2C6"/>
    <w:rsid w:val="4FFD27C2"/>
    <w:rsid w:val="537A404E"/>
    <w:rsid w:val="566F5369"/>
    <w:rsid w:val="57F7200D"/>
    <w:rsid w:val="57FED82E"/>
    <w:rsid w:val="59F1600E"/>
    <w:rsid w:val="59FA925E"/>
    <w:rsid w:val="5B2AC688"/>
    <w:rsid w:val="5B7D77A4"/>
    <w:rsid w:val="5BBBA1BC"/>
    <w:rsid w:val="5ED5AAB2"/>
    <w:rsid w:val="5F666667"/>
    <w:rsid w:val="5F77FF1D"/>
    <w:rsid w:val="5F852AD0"/>
    <w:rsid w:val="5FCB38C4"/>
    <w:rsid w:val="5FCE1C29"/>
    <w:rsid w:val="5FE6FF83"/>
    <w:rsid w:val="5FEFE1AF"/>
    <w:rsid w:val="61B7B7B0"/>
    <w:rsid w:val="62EBB210"/>
    <w:rsid w:val="64751DBE"/>
    <w:rsid w:val="65775EB4"/>
    <w:rsid w:val="65DDC5B6"/>
    <w:rsid w:val="673C7D9E"/>
    <w:rsid w:val="6CBE808B"/>
    <w:rsid w:val="6E581B1C"/>
    <w:rsid w:val="6ED71645"/>
    <w:rsid w:val="6EEC5E54"/>
    <w:rsid w:val="6FD542BD"/>
    <w:rsid w:val="6FE9CAC7"/>
    <w:rsid w:val="6FF76C0A"/>
    <w:rsid w:val="72B8FDE2"/>
    <w:rsid w:val="75FAACB0"/>
    <w:rsid w:val="7777DC53"/>
    <w:rsid w:val="777BF1C6"/>
    <w:rsid w:val="77B19274"/>
    <w:rsid w:val="77FBCF6C"/>
    <w:rsid w:val="77FC3C36"/>
    <w:rsid w:val="7A7E04A5"/>
    <w:rsid w:val="7BEA1B94"/>
    <w:rsid w:val="7BFB36B6"/>
    <w:rsid w:val="7C61B61E"/>
    <w:rsid w:val="7C9F86B6"/>
    <w:rsid w:val="7CFF8708"/>
    <w:rsid w:val="7D7D2118"/>
    <w:rsid w:val="7DB7D45B"/>
    <w:rsid w:val="7DBEA647"/>
    <w:rsid w:val="7DDF1852"/>
    <w:rsid w:val="7DF3A08F"/>
    <w:rsid w:val="7DFD1CA1"/>
    <w:rsid w:val="7EA9C379"/>
    <w:rsid w:val="7EBDE6FD"/>
    <w:rsid w:val="7EF7B931"/>
    <w:rsid w:val="7EFB49B0"/>
    <w:rsid w:val="7EFF15C6"/>
    <w:rsid w:val="7EFFE1E4"/>
    <w:rsid w:val="7F1E8E50"/>
    <w:rsid w:val="7F3B66D7"/>
    <w:rsid w:val="7F7DDB9F"/>
    <w:rsid w:val="7F7F8A2F"/>
    <w:rsid w:val="7F7FBC89"/>
    <w:rsid w:val="7FB44677"/>
    <w:rsid w:val="7FB58C9B"/>
    <w:rsid w:val="7FBFAB9B"/>
    <w:rsid w:val="7FF13E74"/>
    <w:rsid w:val="7FF4CBBC"/>
    <w:rsid w:val="7FF535DD"/>
    <w:rsid w:val="7FFA11CA"/>
    <w:rsid w:val="83E21626"/>
    <w:rsid w:val="85DD00CC"/>
    <w:rsid w:val="8B7F9F5D"/>
    <w:rsid w:val="92BB6047"/>
    <w:rsid w:val="99FBDD94"/>
    <w:rsid w:val="9DB75853"/>
    <w:rsid w:val="9EBBA236"/>
    <w:rsid w:val="AC747DFC"/>
    <w:rsid w:val="AF94DDA4"/>
    <w:rsid w:val="B1C34914"/>
    <w:rsid w:val="B5FF840B"/>
    <w:rsid w:val="B63F9578"/>
    <w:rsid w:val="B6FD7F20"/>
    <w:rsid w:val="B7E7DD80"/>
    <w:rsid w:val="BA3BFBD4"/>
    <w:rsid w:val="BB7E08CC"/>
    <w:rsid w:val="BB7FE12C"/>
    <w:rsid w:val="BB8DCB47"/>
    <w:rsid w:val="BDDFADD1"/>
    <w:rsid w:val="BE1FC2B9"/>
    <w:rsid w:val="BF7F804E"/>
    <w:rsid w:val="BFDE24F2"/>
    <w:rsid w:val="CE1672A6"/>
    <w:rsid w:val="CFDBD878"/>
    <w:rsid w:val="D056E51C"/>
    <w:rsid w:val="D68D4355"/>
    <w:rsid w:val="D7BAE319"/>
    <w:rsid w:val="D7BD66B8"/>
    <w:rsid w:val="DB7DFD6F"/>
    <w:rsid w:val="DD9B027C"/>
    <w:rsid w:val="DF52D8A5"/>
    <w:rsid w:val="DF7F8FB4"/>
    <w:rsid w:val="DF95F380"/>
    <w:rsid w:val="DF9A744D"/>
    <w:rsid w:val="E3AB94CD"/>
    <w:rsid w:val="E3F5DF39"/>
    <w:rsid w:val="E5EAA561"/>
    <w:rsid w:val="EB9C8D60"/>
    <w:rsid w:val="EBDBCC48"/>
    <w:rsid w:val="ECFF2689"/>
    <w:rsid w:val="EDFF31F2"/>
    <w:rsid w:val="EDFF4505"/>
    <w:rsid w:val="EE7FECBF"/>
    <w:rsid w:val="EFCB12C0"/>
    <w:rsid w:val="EFDFEC8C"/>
    <w:rsid w:val="F2DC53FC"/>
    <w:rsid w:val="F3E7EBD6"/>
    <w:rsid w:val="F4BEC27E"/>
    <w:rsid w:val="F57F08E1"/>
    <w:rsid w:val="F5BF02A8"/>
    <w:rsid w:val="F5FF871C"/>
    <w:rsid w:val="F6B66FD5"/>
    <w:rsid w:val="F6FB4B1D"/>
    <w:rsid w:val="F6FBD10E"/>
    <w:rsid w:val="F75D0D6C"/>
    <w:rsid w:val="F7DF53FB"/>
    <w:rsid w:val="F7EDCA74"/>
    <w:rsid w:val="F7FF6301"/>
    <w:rsid w:val="F93EBD69"/>
    <w:rsid w:val="FA6DA70A"/>
    <w:rsid w:val="FA87FC8A"/>
    <w:rsid w:val="FAA94536"/>
    <w:rsid w:val="FB6F28D0"/>
    <w:rsid w:val="FB7F3DCC"/>
    <w:rsid w:val="FBAFF6FD"/>
    <w:rsid w:val="FBFDD218"/>
    <w:rsid w:val="FD4F3813"/>
    <w:rsid w:val="FDBDFED8"/>
    <w:rsid w:val="FDEF29FF"/>
    <w:rsid w:val="FDFF2E60"/>
    <w:rsid w:val="FE8D37A7"/>
    <w:rsid w:val="FED5CF29"/>
    <w:rsid w:val="FEEED696"/>
    <w:rsid w:val="FEF8E331"/>
    <w:rsid w:val="FEFFC61C"/>
    <w:rsid w:val="FF3F6168"/>
    <w:rsid w:val="FF5FF6E6"/>
    <w:rsid w:val="FF6FA2D6"/>
    <w:rsid w:val="FF7FEA96"/>
    <w:rsid w:val="FF7FF94A"/>
    <w:rsid w:val="FFBF50D5"/>
    <w:rsid w:val="FFCF58BD"/>
    <w:rsid w:val="FFCFA090"/>
    <w:rsid w:val="FFF6DCE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6"/>
    <w:basedOn w:val="1"/>
    <w:next w:val="1"/>
    <w:qFormat/>
    <w:uiPriority w:val="0"/>
    <w:pPr>
      <w:keepNext/>
      <w:keepLines/>
      <w:spacing w:before="240" w:beforeLines="0" w:after="64" w:afterLines="0" w:line="317" w:lineRule="auto"/>
      <w:outlineLvl w:val="5"/>
    </w:pPr>
    <w:rPr>
      <w:rFonts w:ascii="Arial" w:hAnsi="Arial" w:eastAsia="黑体" w:cs="Times New Roman"/>
      <w:b/>
      <w:bCs/>
      <w:sz w:val="24"/>
      <w:szCs w:val="2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正文1"/>
    <w:qFormat/>
    <w:uiPriority w:val="0"/>
    <w:pPr>
      <w:widowControl w:val="0"/>
      <w:jc w:val="both"/>
    </w:pPr>
    <w:rPr>
      <w:rFonts w:hint="eastAsia" w:ascii="Times New Roman" w:hAnsi="Times New Roman" w:eastAsia="宋体" w:cs="Times New Roman"/>
      <w:kern w:val="2"/>
      <w:sz w:val="21"/>
      <w:szCs w:val="20"/>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230</TotalTime>
  <ScaleCrop>false</ScaleCrop>
  <LinksUpToDate>false</LinksUpToDate>
  <CharactersWithSpaces>0</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2014-11-06T04:08:00Z</dcterms:created>
  <dc:creator>Administrator</dc:creator>
  <cp:lastModifiedBy>greatwall</cp:lastModifiedBy>
  <cp:lastPrinted>2023-03-23T03:35:00Z</cp:lastPrinted>
  <dcterms:modified xsi:type="dcterms:W3CDTF">2023-06-14T14:57:34Z</dcterms:modified>
  <dc:title>2023年上半年江门市推动工业项目加快</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94E4C7213620437F6D808664E40EE08C</vt:lpwstr>
  </property>
</Properties>
</file>