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新宋体" w:hAnsi="新宋体" w:eastAsia="新宋体"/>
          <w:color w:val="FF0000"/>
          <w:w w:val="90"/>
          <w:sz w:val="84"/>
        </w:rPr>
      </w:pPr>
      <w:r>
        <w:rPr>
          <w:rFonts w:hint="eastAsia" w:ascii="新宋体" w:hAnsi="新宋体" w:eastAsia="新宋体" w:cs="Batang"/>
          <w:color w:val="FF0000"/>
          <w:spacing w:val="300"/>
          <w:w w:val="90"/>
          <w:sz w:val="84"/>
        </w:rPr>
        <w:t>鹤山市公安</w:t>
      </w:r>
      <w:r>
        <w:rPr>
          <w:rFonts w:hint="eastAsia" w:ascii="新宋体" w:hAnsi="新宋体" w:eastAsia="新宋体"/>
          <w:color w:val="FF0000"/>
          <w:w w:val="90"/>
          <w:sz w:val="84"/>
        </w:rPr>
        <w:t>局</w:t>
      </w:r>
    </w:p>
    <w:tbl>
      <w:tblPr>
        <w:tblStyle w:val="2"/>
        <w:tblW w:w="9061" w:type="dxa"/>
        <w:tblInd w:w="0" w:type="dxa"/>
        <w:tblBorders>
          <w:top w:val="none" w:color="auto" w:sz="0" w:space="0"/>
          <w:left w:val="none" w:color="auto" w:sz="0" w:space="0"/>
          <w:bottom w:val="single" w:color="FF0000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tcBorders>
              <w:top w:val="nil"/>
              <w:left w:val="nil"/>
              <w:bottom w:val="single" w:color="FF0000" w:sz="18" w:space="0"/>
              <w:right w:val="nil"/>
            </w:tcBorders>
            <w:noWrap w:val="0"/>
            <w:vAlign w:val="top"/>
          </w:tcPr>
          <w:p>
            <w:pPr>
              <w:spacing w:line="100" w:lineRule="exact"/>
              <w:jc w:val="center"/>
              <w:rPr>
                <w:rFonts w:eastAsia="黑体"/>
                <w:sz w:val="36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中宋" w:hAnsi="华文中宋" w:eastAsia="华文中宋" w:cs="华文中宋"/>
          <w:sz w:val="44"/>
          <w:szCs w:val="44"/>
        </w:rPr>
      </w:pPr>
      <w:r>
        <w:rPr>
          <w:rFonts w:hint="eastAsia" w:ascii="华文中宋" w:hAnsi="华文中宋" w:eastAsia="华文中宋" w:cs="华文中宋"/>
          <w:sz w:val="44"/>
          <w:szCs w:val="44"/>
        </w:rPr>
        <w:t>鹤山市公安局聘任行政执法监督员的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中宋" w:hAnsi="华文中宋" w:eastAsia="华文中宋" w:cs="华文中宋"/>
          <w:sz w:val="44"/>
          <w:szCs w:val="44"/>
        </w:rPr>
      </w:pPr>
      <w:r>
        <w:rPr>
          <w:rFonts w:hint="eastAsia" w:ascii="华文中宋" w:hAnsi="华文中宋" w:eastAsia="华文中宋" w:cs="华文中宋"/>
          <w:sz w:val="44"/>
          <w:szCs w:val="44"/>
        </w:rPr>
        <w:t>情况公示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根据《鹤山市县镇村三级行政执法监督员制度实施方案》、《鹤山市县镇村三级行政执法监督员工作规则》的要求，我局按照“公开、公正、公平、择优”的原则，经集体讨论决定，拟聘请以下人员担任我局行政执法监督员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李炜强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鹤山市人民检察院第一检察部主任、一级检察官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叶敏瑶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鹤山市人民检察院第五检察部副主任、一级检察官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慧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鹤山市妇女联合会权益部副部长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林念军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鹤山市公证处科员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麦晓茵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广东卓霖律师事务所专职律师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公示期内，个人和单位均可通过来信、来电等形式，向鹤山市公安局法制室反映公示对象在德、能、勤、绩、廉等方面的情况和问题。要坚持实事求是的原则，不得借机诽谤和诬告。以个人名义反映的，提倡实名；以单位名义反映的，应加盖本单位印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公示时间：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受理单位：鹤山市公安局法制室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地址：鹤山市沙坪街道鹤山大道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1300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邮政编码：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529711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0750-8897025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鹤山市公安局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2022年8月4日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Batang">
    <w:panose1 w:val="02030600000101010101"/>
    <w:charset w:val="81"/>
    <w:family w:val="roman"/>
    <w:pitch w:val="default"/>
    <w:sig w:usb0="B00002AF" w:usb1="69D77CFB" w:usb2="00000030" w:usb3="00000000" w:csb0="4008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6D683D"/>
    <w:rsid w:val="22A47D45"/>
    <w:rsid w:val="47B55C24"/>
    <w:rsid w:val="733C5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2022-07-19T02:17:00Z</dcterms:created>
  <dc:creator>1</dc:creator>
  <cp:lastModifiedBy>陈诗芮</cp:lastModifiedBy>
  <dcterms:modified xsi:type="dcterms:W3CDTF">2022-08-04T02:18:04Z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