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附件1</w:t>
      </w:r>
    </w:p>
    <w:p>
      <w:pPr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spacing w:line="600" w:lineRule="exact"/>
        <w:jc w:val="center"/>
        <w:rPr>
          <w:rFonts w:hint="eastAsia" w:ascii="方正大标宋简体" w:hAnsi="方正大标宋简体" w:eastAsia="方正大标宋简体" w:cs="方正大标宋简体"/>
          <w:sz w:val="44"/>
          <w:szCs w:val="44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sz w:val="44"/>
          <w:szCs w:val="44"/>
          <w:lang w:val="en-US" w:eastAsia="zh-CN"/>
        </w:rPr>
        <w:t>第19届中国—东盟博览会农业展</w:t>
      </w:r>
    </w:p>
    <w:p>
      <w:pPr>
        <w:spacing w:line="600" w:lineRule="exact"/>
        <w:jc w:val="center"/>
        <w:rPr>
          <w:rFonts w:hint="eastAsia" w:ascii="方正大标宋简体" w:hAnsi="方正大标宋简体" w:eastAsia="方正大标宋简体" w:cs="方正大标宋简体"/>
          <w:sz w:val="44"/>
          <w:szCs w:val="44"/>
          <w:highlight w:val="none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sz w:val="44"/>
          <w:szCs w:val="44"/>
          <w:highlight w:val="none"/>
          <w:lang w:eastAsia="zh-CN"/>
        </w:rPr>
        <w:t>参展参会公告</w:t>
      </w:r>
    </w:p>
    <w:p>
      <w:pPr>
        <w:spacing w:line="600" w:lineRule="exact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  <w:lang w:val="en-US" w:eastAsia="zh-CN"/>
        </w:rPr>
        <w:t>19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届中国—东盟博览会农业展计划于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2"/>
          <w:lang w:val="en-US" w:eastAsia="zh-CN"/>
        </w:rPr>
        <w:t>2022年9月25</w:t>
      </w:r>
      <w:r>
        <w:rPr>
          <w:rFonts w:hint="eastAsia" w:ascii="Times New Roman" w:hAnsi="Times New Roman" w:eastAsia="仿宋_GB2312" w:cs="Times New Roman"/>
          <w:bCs/>
          <w:color w:val="000000"/>
          <w:sz w:val="32"/>
          <w:szCs w:val="32"/>
          <w:lang w:val="en-US" w:eastAsia="zh-CN"/>
        </w:rPr>
        <w:t>—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2"/>
          <w:lang w:val="en-US" w:eastAsia="zh-CN"/>
        </w:rPr>
        <w:t>27</w:t>
      </w:r>
      <w:r>
        <w:rPr>
          <w:rFonts w:hint="eastAsia" w:ascii="Times New Roman" w:hAnsi="Times New Roman" w:eastAsia="仿宋_GB2312" w:cs="Times New Roman"/>
          <w:bCs/>
          <w:color w:val="000000"/>
          <w:sz w:val="32"/>
          <w:szCs w:val="32"/>
          <w:lang w:val="en-US" w:eastAsia="zh-CN"/>
        </w:rPr>
        <w:t>日在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南宁国际会展中心举办。欢迎国内外客商报名参加第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19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届中国—东盟博览会农业展！</w:t>
      </w:r>
    </w:p>
    <w:p>
      <w:pPr>
        <w:spacing w:line="600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一、展示内容</w:t>
      </w:r>
    </w:p>
    <w:p>
      <w:pPr>
        <w:spacing w:line="600" w:lineRule="exact"/>
        <w:ind w:firstLine="642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color w:val="000000"/>
          <w:sz w:val="32"/>
          <w:szCs w:val="32"/>
        </w:rPr>
        <w:t>.全国特色农产品及食品展区：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</w:rPr>
        <w:t>各省区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绿色农产品及食品、地理标志产品、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老字号农副产品、名特优产品、特色畜牧产品、水产品、海产品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。</w:t>
      </w:r>
    </w:p>
    <w:p>
      <w:pPr>
        <w:spacing w:line="600" w:lineRule="exact"/>
        <w:ind w:firstLine="642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  <w:t>2</w:t>
      </w:r>
      <w:r>
        <w:rPr>
          <w:rFonts w:ascii="仿宋_GB2312" w:hAnsi="仿宋_GB2312" w:eastAsia="仿宋_GB2312" w:cs="仿宋_GB2312"/>
          <w:b/>
          <w:bCs/>
          <w:color w:val="000000"/>
          <w:sz w:val="32"/>
          <w:szCs w:val="32"/>
        </w:rPr>
        <w:t>.东盟特色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农副产品及食品</w:t>
      </w:r>
      <w:r>
        <w:rPr>
          <w:rFonts w:ascii="仿宋_GB2312" w:hAnsi="仿宋_GB2312" w:eastAsia="仿宋_GB2312" w:cs="仿宋_GB2312"/>
          <w:b/>
          <w:bCs/>
          <w:color w:val="000000"/>
          <w:sz w:val="32"/>
          <w:szCs w:val="32"/>
        </w:rPr>
        <w:t>展区：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东盟国家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特产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、休闲食品、香料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、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调味品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、食品加工原材料、清真食品、咖啡饮品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。</w:t>
      </w:r>
    </w:p>
    <w:p>
      <w:pPr>
        <w:spacing w:line="600" w:lineRule="exact"/>
        <w:ind w:firstLine="642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  <w:t>3</w:t>
      </w:r>
      <w:r>
        <w:rPr>
          <w:rFonts w:ascii="仿宋_GB2312" w:hAnsi="仿宋_GB2312" w:eastAsia="仿宋_GB2312" w:cs="仿宋_GB2312"/>
          <w:b/>
          <w:bCs/>
          <w:color w:val="000000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果蔬展区</w:t>
      </w:r>
      <w:r>
        <w:rPr>
          <w:rFonts w:ascii="仿宋_GB2312" w:hAnsi="仿宋_GB2312" w:eastAsia="仿宋_GB2312" w:cs="仿宋_GB2312"/>
          <w:b/>
          <w:bCs/>
          <w:color w:val="000000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新鲜果蔬、冷冻果蔬、脱水果蔬、鲜切及方便产品、果蔬深加工品、果蔬副食品、干杂产品、食用菌及特色种植产品；果蔬种植、采摘、深加工、包装等技术及设备。</w:t>
      </w:r>
    </w:p>
    <w:p>
      <w:pPr>
        <w:spacing w:line="600" w:lineRule="exact"/>
        <w:ind w:firstLine="642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.茶叶展区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：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绿茶、红茶、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黄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茶、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白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茶、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乌龙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茶、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黑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茶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、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茶饮料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、茶文化以及茶种植、采摘、深加工、包装等技术及设备。</w:t>
      </w:r>
    </w:p>
    <w:p>
      <w:pPr>
        <w:spacing w:line="600" w:lineRule="exact"/>
        <w:ind w:firstLine="642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.农业生产资料展区：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种子、苗木、肥料及原料、农药及原料、植物生长调节剂、检测仪器、生产加工及包装设备等。</w:t>
      </w:r>
    </w:p>
    <w:p>
      <w:pPr>
        <w:spacing w:line="600" w:lineRule="exact"/>
        <w:ind w:firstLine="642" w:firstLineChars="200"/>
        <w:rPr>
          <w:rFonts w:ascii="仿宋_GB2312" w:hAnsi="仿宋_GB2312" w:eastAsia="仿宋_GB2312" w:cs="仿宋_GB2312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  <w:t>6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.中国—东盟农业国际合作展区：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农业国际贸易与投资合作成就、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</w:rPr>
        <w:t>现代农业发展成就和规划；国家级现代农业示范区、农业产业园、农业科技园等建设和发展成果；农业合作项目、技术与产品。</w:t>
      </w:r>
    </w:p>
    <w:p>
      <w:pPr>
        <w:pStyle w:val="2"/>
        <w:widowControl/>
        <w:shd w:val="clear" w:color="auto" w:fill="FFFFFF"/>
        <w:spacing w:beforeAutospacing="0" w:afterAutospacing="0" w:line="600" w:lineRule="exact"/>
        <w:ind w:firstLine="642" w:firstLineChars="200"/>
        <w:jc w:val="both"/>
        <w:rPr>
          <w:rFonts w:hint="default" w:ascii="仿宋_GB2312" w:hAnsi="仿宋_GB2312" w:eastAsia="仿宋_GB2312" w:cs="仿宋_GB2312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2"/>
        </w:rPr>
        <w:t>7</w:t>
      </w:r>
      <w:r>
        <w:rPr>
          <w:rFonts w:ascii="仿宋_GB2312" w:hAnsi="仿宋_GB2312" w:eastAsia="仿宋_GB2312" w:cs="仿宋_GB2312"/>
          <w:bCs/>
          <w:color w:val="000000"/>
          <w:sz w:val="32"/>
          <w:szCs w:val="32"/>
        </w:rPr>
        <w:t>.</w:t>
      </w:r>
      <w:r>
        <w:rPr>
          <w:rFonts w:ascii="仿宋_GB2312" w:hAnsi="仿宋_GB2312" w:eastAsia="仿宋_GB2312" w:cs="仿宋_GB2312"/>
          <w:bCs/>
          <w:color w:val="000000"/>
          <w:kern w:val="2"/>
          <w:sz w:val="32"/>
          <w:szCs w:val="32"/>
        </w:rPr>
        <w:t>乡村振兴与</w:t>
      </w:r>
      <w:r>
        <w:rPr>
          <w:rFonts w:hint="eastAsia" w:ascii="仿宋_GB2312" w:hAnsi="仿宋_GB2312" w:eastAsia="仿宋_GB2312" w:cs="仿宋_GB2312"/>
          <w:bCs/>
          <w:color w:val="000000"/>
          <w:kern w:val="2"/>
          <w:sz w:val="32"/>
          <w:szCs w:val="32"/>
          <w:highlight w:val="none"/>
          <w:lang w:eastAsia="zh-CN"/>
        </w:rPr>
        <w:t>脱</w:t>
      </w:r>
      <w:r>
        <w:rPr>
          <w:rFonts w:ascii="仿宋_GB2312" w:hAnsi="仿宋_GB2312" w:eastAsia="仿宋_GB2312" w:cs="仿宋_GB2312"/>
          <w:bCs/>
          <w:color w:val="000000"/>
          <w:kern w:val="2"/>
          <w:sz w:val="32"/>
          <w:szCs w:val="32"/>
        </w:rPr>
        <w:t>贫攻坚成果展区：</w:t>
      </w:r>
      <w:r>
        <w:rPr>
          <w:rFonts w:ascii="仿宋_GB2312" w:hAnsi="仿宋_GB2312" w:eastAsia="仿宋_GB2312" w:cs="仿宋_GB2312"/>
          <w:b w:val="0"/>
          <w:bCs/>
          <w:color w:val="000000"/>
          <w:sz w:val="32"/>
          <w:szCs w:val="32"/>
        </w:rPr>
        <w:t>展示全国各省区市农业跨越式发展、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highlight w:val="none"/>
          <w:lang w:eastAsia="zh-CN"/>
        </w:rPr>
        <w:t>脱</w:t>
      </w:r>
      <w:r>
        <w:rPr>
          <w:rFonts w:ascii="仿宋_GB2312" w:hAnsi="仿宋_GB2312" w:eastAsia="仿宋_GB2312" w:cs="仿宋_GB2312"/>
          <w:b w:val="0"/>
          <w:bCs/>
          <w:color w:val="000000"/>
          <w:sz w:val="32"/>
          <w:szCs w:val="32"/>
        </w:rPr>
        <w:t>贫攻坚、乡村振兴等成果和产品；数字乡村、休闲农业、旅游农业；美丽乡村规划、建设与管理等。</w:t>
      </w:r>
    </w:p>
    <w:p>
      <w:pPr>
        <w:spacing w:line="600" w:lineRule="exact"/>
        <w:ind w:firstLine="642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</w:rPr>
        <w:t>8</w:t>
      </w:r>
      <w:r>
        <w:rPr>
          <w:rFonts w:ascii="仿宋_GB2312" w:hAnsi="仿宋_GB2312" w:eastAsia="仿宋_GB2312" w:cs="仿宋_GB2312"/>
          <w:b/>
          <w:color w:val="000000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国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际农产品供应链展区：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</w:rPr>
        <w:t>国际国内农产品生产基地、农产品交易平台、农产品批发市场、农产品物流园区、大型农产品连锁超市、电子商务平台；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海铁多式联运、冷链运输、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</w:rPr>
        <w:t>冷链仓储、搬运设备、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供应链服务等。</w:t>
      </w:r>
    </w:p>
    <w:p>
      <w:pPr>
        <w:spacing w:line="600" w:lineRule="exact"/>
        <w:ind w:firstLine="642" w:firstLineChars="200"/>
        <w:jc w:val="both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  <w:t>9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.数智农业及设备展区：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农用机械、设施农业、光伏和太阳能农业一体化技术及设备、智能灌溉和水肥一体化技术及设备、现代农业信息化系统及设备、农业环保技术及设备等。</w:t>
      </w:r>
    </w:p>
    <w:p>
      <w:pPr>
        <w:jc w:val="center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pict>
          <v:shape id="_x0000_i1025" o:spt="75" alt="展区图0601" type="#_x0000_t75" style="height:421.8pt;width:393.7pt;" filled="f" o:preferrelative="t" stroked="f" coordsize="21600,21600">
            <v:path/>
            <v:fill on="f" focussize="0,0"/>
            <v:stroke on="f"/>
            <v:imagedata r:id="rId6" o:title="展区图0601"/>
            <o:lock v:ext="edit" aspectratio="t"/>
            <w10:wrap type="none"/>
            <w10:anchorlock/>
          </v:shape>
        </w:pict>
      </w:r>
    </w:p>
    <w:p>
      <w:pPr>
        <w:ind w:firstLine="640" w:firstLineChars="200"/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Cs/>
          <w:color w:val="000000"/>
          <w:sz w:val="32"/>
          <w:szCs w:val="32"/>
          <w:lang w:val="en-US" w:eastAsia="zh-CN"/>
        </w:rPr>
        <w:t>系列活动初步安排</w:t>
      </w:r>
    </w:p>
    <w:p>
      <w:pPr>
        <w:ind w:firstLine="640" w:firstLineChars="200"/>
        <w:rPr>
          <w:rFonts w:ascii="Times New Roman" w:hAnsi="Times New Roman" w:eastAsia="仿宋_GB2312" w:cs="Times New Roman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2"/>
        </w:rPr>
        <w:t>1</w:t>
      </w:r>
      <w:r>
        <w:rPr>
          <w:rFonts w:hint="eastAsia" w:ascii="Times New Roman" w:hAnsi="Times New Roman" w:eastAsia="仿宋_GB2312" w:cs="Times New Roman"/>
          <w:bCs/>
          <w:color w:val="000000"/>
          <w:sz w:val="32"/>
          <w:szCs w:val="32"/>
        </w:rPr>
        <w:t>.第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2"/>
        </w:rPr>
        <w:t>19</w:t>
      </w:r>
      <w:r>
        <w:rPr>
          <w:rFonts w:hint="eastAsia" w:ascii="Times New Roman" w:hAnsi="Times New Roman" w:eastAsia="仿宋_GB2312" w:cs="Times New Roman"/>
          <w:bCs/>
          <w:color w:val="000000"/>
          <w:sz w:val="32"/>
          <w:szCs w:val="32"/>
        </w:rPr>
        <w:t>届中国—东盟博览会农业展</w:t>
      </w:r>
      <w:r>
        <w:rPr>
          <w:rFonts w:hint="eastAsia" w:ascii="Times New Roman" w:hAnsi="Times New Roman" w:eastAsia="仿宋_GB2312" w:cs="Times New Roman"/>
          <w:bCs/>
          <w:color w:val="000000"/>
          <w:sz w:val="32"/>
          <w:szCs w:val="32"/>
          <w:lang w:val="en-US" w:eastAsia="zh-CN"/>
        </w:rPr>
        <w:t>开馆仪式</w:t>
      </w:r>
    </w:p>
    <w:p>
      <w:pPr>
        <w:ind w:firstLine="640" w:firstLineChars="200"/>
        <w:rPr>
          <w:rFonts w:hint="eastAsia" w:ascii="Times New Roman" w:hAnsi="Times New Roman" w:eastAsia="仿宋_GB2312" w:cs="Times New Roman"/>
          <w:bCs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2"/>
        </w:rPr>
        <w:t>2</w:t>
      </w:r>
      <w:r>
        <w:rPr>
          <w:rFonts w:hint="eastAsia" w:ascii="Times New Roman" w:hAnsi="Times New Roman" w:eastAsia="仿宋_GB2312" w:cs="Times New Roman"/>
          <w:bCs/>
          <w:color w:val="000000"/>
          <w:sz w:val="32"/>
          <w:szCs w:val="32"/>
        </w:rPr>
        <w:t>.农商对接</w:t>
      </w:r>
      <w:r>
        <w:rPr>
          <w:rFonts w:hint="eastAsia" w:ascii="Times New Roman" w:hAnsi="Times New Roman" w:eastAsia="仿宋_GB2312" w:cs="Times New Roman"/>
          <w:bCs/>
          <w:color w:val="000000"/>
          <w:sz w:val="32"/>
          <w:szCs w:val="32"/>
          <w:lang w:val="en-US" w:eastAsia="zh-CN"/>
        </w:rPr>
        <w:t>会</w:t>
      </w:r>
    </w:p>
    <w:p>
      <w:pPr>
        <w:ind w:firstLine="640" w:firstLineChars="200"/>
        <w:rPr>
          <w:rFonts w:hint="eastAsia" w:ascii="Times New Roman" w:hAnsi="Times New Roman" w:eastAsia="仿宋_GB2312" w:cs="Times New Roman"/>
          <w:bCs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2"/>
        </w:rPr>
        <w:t>3</w:t>
      </w:r>
      <w:r>
        <w:rPr>
          <w:rFonts w:hint="eastAsia" w:ascii="Times New Roman" w:hAnsi="Times New Roman" w:eastAsia="仿宋_GB2312" w:cs="Times New Roman"/>
          <w:bCs/>
          <w:color w:val="000000"/>
          <w:sz w:val="32"/>
          <w:szCs w:val="32"/>
        </w:rPr>
        <w:t>.</w:t>
      </w:r>
      <w:r>
        <w:rPr>
          <w:rFonts w:ascii="Times New Roman" w:hAnsi="Times New Roman" w:eastAsia="仿宋_GB2312" w:cs="Times New Roman"/>
          <w:bCs/>
          <w:color w:val="000000"/>
          <w:sz w:val="32"/>
          <w:szCs w:val="32"/>
        </w:rPr>
        <w:t>助农产销对接大会</w:t>
      </w:r>
    </w:p>
    <w:p>
      <w:pPr>
        <w:ind w:firstLine="640" w:firstLineChars="200"/>
        <w:rPr>
          <w:rFonts w:hint="eastAsia" w:ascii="Times New Roman" w:hAnsi="Times New Roman" w:eastAsia="仿宋_GB2312" w:cs="Times New Roman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2"/>
        </w:rPr>
        <w:t>4</w:t>
      </w:r>
      <w:r>
        <w:rPr>
          <w:rFonts w:hint="eastAsia" w:ascii="Times New Roman" w:hAnsi="Times New Roman" w:eastAsia="仿宋_GB2312" w:cs="Times New Roman"/>
          <w:bCs/>
          <w:color w:val="000000"/>
          <w:sz w:val="32"/>
          <w:szCs w:val="32"/>
        </w:rPr>
        <w:t>.重点省市农业品牌专场推介会</w:t>
      </w:r>
    </w:p>
    <w:p>
      <w:pPr>
        <w:ind w:firstLine="640" w:firstLineChars="200"/>
        <w:rPr>
          <w:rFonts w:hint="eastAsia" w:ascii="Times New Roman" w:hAnsi="Times New Roman" w:eastAsia="仿宋_GB2312" w:cs="Times New Roman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2"/>
        </w:rPr>
        <w:t>5</w:t>
      </w:r>
      <w:r>
        <w:rPr>
          <w:rFonts w:hint="eastAsia" w:ascii="Times New Roman" w:hAnsi="Times New Roman" w:eastAsia="仿宋_GB2312" w:cs="Times New Roman"/>
          <w:bCs/>
          <w:color w:val="000000"/>
          <w:sz w:val="32"/>
          <w:szCs w:val="32"/>
        </w:rPr>
        <w:t>.</w:t>
      </w:r>
      <w:r>
        <w:rPr>
          <w:rFonts w:ascii="Times New Roman" w:hAnsi="Times New Roman" w:eastAsia="仿宋_GB2312" w:cs="Times New Roman"/>
          <w:bCs/>
          <w:color w:val="000000"/>
          <w:sz w:val="32"/>
          <w:szCs w:val="32"/>
        </w:rPr>
        <w:t>特色农产品直播带货</w:t>
      </w:r>
    </w:p>
    <w:p>
      <w:pPr>
        <w:ind w:firstLine="640" w:firstLineChars="200"/>
        <w:jc w:val="both"/>
        <w:rPr>
          <w:rFonts w:ascii="Times New Roman" w:hAnsi="Times New Roman" w:eastAsia="仿宋_GB2312" w:cs="Times New Roman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2"/>
        </w:rPr>
        <w:t>6</w:t>
      </w:r>
      <w:r>
        <w:rPr>
          <w:rFonts w:hint="eastAsia" w:ascii="Times New Roman" w:hAnsi="Times New Roman" w:eastAsia="仿宋_GB2312" w:cs="Times New Roman"/>
          <w:bCs/>
          <w:color w:val="000000"/>
          <w:sz w:val="32"/>
          <w:szCs w:val="32"/>
        </w:rPr>
        <w:t>.</w:t>
      </w:r>
      <w:r>
        <w:rPr>
          <w:rFonts w:ascii="Times New Roman" w:hAnsi="Times New Roman" w:eastAsia="仿宋_GB2312" w:cs="Times New Roman"/>
          <w:bCs/>
          <w:color w:val="000000"/>
          <w:sz w:val="32"/>
          <w:szCs w:val="32"/>
        </w:rPr>
        <w:t>农业展电商直播选品会</w:t>
      </w:r>
    </w:p>
    <w:p>
      <w:pPr>
        <w:ind w:firstLine="642" w:firstLineChars="200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bCs/>
          <w:color w:val="000000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 w:cs="Times New Roman"/>
          <w:b/>
          <w:bCs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Times New Roman" w:hAnsi="Times New Roman" w:eastAsia="仿宋_GB2312" w:cs="Times New Roman"/>
          <w:b/>
          <w:bCs/>
          <w:color w:val="000000"/>
          <w:sz w:val="32"/>
          <w:szCs w:val="32"/>
          <w:lang w:eastAsia="zh-CN"/>
        </w:rPr>
        <w:t>）参展费用</w:t>
      </w:r>
    </w:p>
    <w:tbl>
      <w:tblPr>
        <w:tblStyle w:val="1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22"/>
        <w:gridCol w:w="37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3722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sz w:val="28"/>
                <w:szCs w:val="28"/>
              </w:rPr>
              <w:t>展位类型</w:t>
            </w:r>
          </w:p>
        </w:tc>
        <w:tc>
          <w:tcPr>
            <w:tcW w:w="3745" w:type="dxa"/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sz w:val="28"/>
                <w:szCs w:val="28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372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32"/>
                <w:szCs w:val="32"/>
              </w:rPr>
              <w:t>标准展位9㎡(3×3)</w:t>
            </w:r>
          </w:p>
        </w:tc>
        <w:tc>
          <w:tcPr>
            <w:tcW w:w="374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32"/>
                <w:szCs w:val="32"/>
              </w:rPr>
              <w:t>USD1,100/或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32"/>
                <w:szCs w:val="32"/>
              </w:rPr>
              <w:t>RMB7,000元/个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372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32"/>
                <w:szCs w:val="32"/>
              </w:rPr>
              <w:t>室内净地(36㎡起租)</w:t>
            </w:r>
          </w:p>
        </w:tc>
        <w:tc>
          <w:tcPr>
            <w:tcW w:w="374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32"/>
                <w:szCs w:val="32"/>
              </w:rPr>
              <w:t>USD110/或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32"/>
                <w:szCs w:val="32"/>
              </w:rPr>
              <w:t>RMB700元/㎡</w:t>
            </w:r>
          </w:p>
        </w:tc>
      </w:tr>
    </w:tbl>
    <w:p>
      <w:pPr>
        <w:ind w:firstLine="420" w:firstLineChars="200"/>
        <w:jc w:val="both"/>
      </w:pPr>
    </w:p>
    <w:p>
      <w:r>
        <w:rPr>
          <w:rFonts w:hint="eastAsia" w:ascii="仿宋_GB2312" w:hAnsi="仿宋_GB2312" w:eastAsia="仿宋_GB2312" w:cs="仿宋_GB2312"/>
          <w:color w:val="auto"/>
          <w:kern w:val="0"/>
          <w:sz w:val="32"/>
          <w:lang w:val="en-US" w:eastAsia="zh-CN"/>
        </w:rPr>
        <w:t>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</w:rPr>
        <w:t>配置:公司中英文楣板、围板、洽谈桌1张、椅子2张、射灯2盏、500W单相插座1个、纸篓1个，铺设地毯）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lang w:eastAsia="zh-CN"/>
        </w:rPr>
        <w:t>；</w:t>
      </w:r>
    </w:p>
    <w:p>
      <w:pPr>
        <w:pStyle w:val="24"/>
      </w:pPr>
    </w:p>
    <w:sectPr>
      <w:headerReference r:id="rId3" w:type="default"/>
      <w:footerReference r:id="rId4" w:type="default"/>
      <w:pgSz w:w="11906" w:h="16838"/>
      <w:pgMar w:top="1701" w:right="1531" w:bottom="1701" w:left="1701" w:header="851" w:footer="992" w:gutter="0"/>
      <w:paperSrc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黑体">
    <w:altName w:val="方正黑体_GBK"/>
    <w:panose1 w:val="02010600030101010101"/>
    <w:charset w:val="00"/>
    <w:family w:val="auto"/>
    <w:pitch w:val="default"/>
    <w:sig w:usb0="00000001" w:usb1="080E0000" w:usb2="00000000" w:usb3="00000000" w:csb0="00040000" w:csb1="00000000"/>
  </w:font>
  <w:font w:name="方正大标宋简体">
    <w:altName w:val="方正书宋_GBK"/>
    <w:panose1 w:val="03000509000000000000"/>
    <w:charset w:val="00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w:pict>
        <v:shape id="_x0000_s2049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snapToGrid w:val="0"/>
                  <w:rPr>
                    <w:rFonts w:hint="eastAsia" w:eastAsia="宋体"/>
                    <w:sz w:val="18"/>
                    <w:lang w:eastAsia="zh-CN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sz w:val="18"/>
                    <w:lang w:eastAsia="zh-CN"/>
                  </w:rPr>
                  <w:t>1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mY5MWE4ZmY1NWU4ZDI5N2I3NjlmN2JjMmFhNGMyYmEifQ=="/>
  </w:docVars>
  <w:rsids>
    <w:rsidRoot w:val="005C324B"/>
    <w:rsid w:val="000019F6"/>
    <w:rsid w:val="00035C7F"/>
    <w:rsid w:val="00054658"/>
    <w:rsid w:val="00082878"/>
    <w:rsid w:val="000B6742"/>
    <w:rsid w:val="000C5AF9"/>
    <w:rsid w:val="000F6F9B"/>
    <w:rsid w:val="00124BC7"/>
    <w:rsid w:val="00156C25"/>
    <w:rsid w:val="00180596"/>
    <w:rsid w:val="001D4329"/>
    <w:rsid w:val="0022258C"/>
    <w:rsid w:val="00245D77"/>
    <w:rsid w:val="00262DE9"/>
    <w:rsid w:val="0028168A"/>
    <w:rsid w:val="002B5F58"/>
    <w:rsid w:val="00331183"/>
    <w:rsid w:val="00350616"/>
    <w:rsid w:val="003662EF"/>
    <w:rsid w:val="003C78ED"/>
    <w:rsid w:val="00440D5A"/>
    <w:rsid w:val="00496E16"/>
    <w:rsid w:val="004B0DA8"/>
    <w:rsid w:val="004D1777"/>
    <w:rsid w:val="004D60E9"/>
    <w:rsid w:val="00514B8D"/>
    <w:rsid w:val="00553422"/>
    <w:rsid w:val="00575DF1"/>
    <w:rsid w:val="005C324B"/>
    <w:rsid w:val="0060144A"/>
    <w:rsid w:val="00605861"/>
    <w:rsid w:val="00610DB0"/>
    <w:rsid w:val="00632F12"/>
    <w:rsid w:val="0064213A"/>
    <w:rsid w:val="006510DE"/>
    <w:rsid w:val="00655DDD"/>
    <w:rsid w:val="006C1AEF"/>
    <w:rsid w:val="007452D5"/>
    <w:rsid w:val="0075033E"/>
    <w:rsid w:val="0076019E"/>
    <w:rsid w:val="00762F6D"/>
    <w:rsid w:val="00771BF2"/>
    <w:rsid w:val="00776C6F"/>
    <w:rsid w:val="00786A48"/>
    <w:rsid w:val="00794057"/>
    <w:rsid w:val="007965AE"/>
    <w:rsid w:val="007C622C"/>
    <w:rsid w:val="00804E17"/>
    <w:rsid w:val="00830220"/>
    <w:rsid w:val="00855D0F"/>
    <w:rsid w:val="00872D43"/>
    <w:rsid w:val="008736A1"/>
    <w:rsid w:val="008D2BBA"/>
    <w:rsid w:val="008E232E"/>
    <w:rsid w:val="008E302A"/>
    <w:rsid w:val="009248B8"/>
    <w:rsid w:val="009741C5"/>
    <w:rsid w:val="009B1590"/>
    <w:rsid w:val="009D43C2"/>
    <w:rsid w:val="009F0526"/>
    <w:rsid w:val="00A4435C"/>
    <w:rsid w:val="00A61613"/>
    <w:rsid w:val="00A64F01"/>
    <w:rsid w:val="00AB06E6"/>
    <w:rsid w:val="00AB545A"/>
    <w:rsid w:val="00B55741"/>
    <w:rsid w:val="00B9630D"/>
    <w:rsid w:val="00BF03A7"/>
    <w:rsid w:val="00BF585A"/>
    <w:rsid w:val="00C962AD"/>
    <w:rsid w:val="00CA2FAE"/>
    <w:rsid w:val="00D10091"/>
    <w:rsid w:val="00D10F4E"/>
    <w:rsid w:val="00D324DB"/>
    <w:rsid w:val="00D36C1C"/>
    <w:rsid w:val="00D553DE"/>
    <w:rsid w:val="00DE50B0"/>
    <w:rsid w:val="00E347C3"/>
    <w:rsid w:val="00EA16D2"/>
    <w:rsid w:val="00F47998"/>
    <w:rsid w:val="00FA3BD6"/>
    <w:rsid w:val="00FF2DF1"/>
    <w:rsid w:val="0BC561D6"/>
    <w:rsid w:val="0F4A242D"/>
    <w:rsid w:val="13A05183"/>
    <w:rsid w:val="13BB7EA1"/>
    <w:rsid w:val="16D47BC7"/>
    <w:rsid w:val="1C9872A7"/>
    <w:rsid w:val="2164592B"/>
    <w:rsid w:val="25B42B2A"/>
    <w:rsid w:val="29EF7243"/>
    <w:rsid w:val="2A9C2231"/>
    <w:rsid w:val="2C292874"/>
    <w:rsid w:val="2F0909C1"/>
    <w:rsid w:val="2F9FCB36"/>
    <w:rsid w:val="30001D68"/>
    <w:rsid w:val="3CD55205"/>
    <w:rsid w:val="3EDE4DF5"/>
    <w:rsid w:val="45A629A8"/>
    <w:rsid w:val="4AD2185A"/>
    <w:rsid w:val="4BCB0DD2"/>
    <w:rsid w:val="4D916ABF"/>
    <w:rsid w:val="55AFEFB8"/>
    <w:rsid w:val="55EF7F78"/>
    <w:rsid w:val="57B50E21"/>
    <w:rsid w:val="57ED23E8"/>
    <w:rsid w:val="59687339"/>
    <w:rsid w:val="598B07A4"/>
    <w:rsid w:val="5F2675E4"/>
    <w:rsid w:val="5F3E5892"/>
    <w:rsid w:val="605114D4"/>
    <w:rsid w:val="626C5AD8"/>
    <w:rsid w:val="64093EF4"/>
    <w:rsid w:val="65991545"/>
    <w:rsid w:val="66115225"/>
    <w:rsid w:val="686B11EF"/>
    <w:rsid w:val="6F0474BB"/>
    <w:rsid w:val="6F6A63B6"/>
    <w:rsid w:val="70A414FC"/>
    <w:rsid w:val="765329F6"/>
    <w:rsid w:val="77AE6684"/>
    <w:rsid w:val="77BF0F98"/>
    <w:rsid w:val="78E14D22"/>
    <w:rsid w:val="7EFC3069"/>
    <w:rsid w:val="7FE0D7B4"/>
    <w:rsid w:val="A5DFDBD4"/>
    <w:rsid w:val="BFBF584D"/>
    <w:rsid w:val="C7DCDC80"/>
    <w:rsid w:val="DBBE1C2A"/>
    <w:rsid w:val="F8FC2F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styleId="2">
    <w:name w:val="heading 3"/>
    <w:basedOn w:val="1"/>
    <w:next w:val="1"/>
    <w:uiPriority w:val="0"/>
    <w:pPr>
      <w:spacing w:beforeAutospacing="1" w:afterAutospacing="1"/>
      <w:jc w:val="left"/>
      <w:outlineLvl w:val="2"/>
    </w:pPr>
    <w:rPr>
      <w:rFonts w:hint="eastAsia" w:ascii="宋体" w:hAnsi="宋体" w:cs="Times New Roman"/>
      <w:b/>
      <w:kern w:val="0"/>
      <w:sz w:val="27"/>
      <w:szCs w:val="27"/>
    </w:rPr>
  </w:style>
  <w:style w:type="character" w:default="1" w:styleId="17">
    <w:name w:val="Default Paragraph Font"/>
    <w:semiHidden/>
    <w:uiPriority w:val="0"/>
  </w:style>
  <w:style w:type="table" w:default="1" w:styleId="15">
    <w:name w:val="Normal Table"/>
    <w:semiHidden/>
    <w:uiPriority w:val="0"/>
    <w:tblPr>
      <w:tblStyle w:val="15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1"/>
    <w:uiPriority w:val="0"/>
    <w:pPr>
      <w:widowControl w:val="0"/>
      <w:spacing w:line="360" w:lineRule="exact"/>
    </w:pPr>
    <w:rPr>
      <w:rFonts w:ascii="Times New Roman" w:hAnsi="Times New Roman" w:eastAsia="方正仿宋_GBK"/>
      <w:sz w:val="24"/>
      <w:szCs w:val="30"/>
    </w:rPr>
  </w:style>
  <w:style w:type="paragraph" w:styleId="4">
    <w:name w:val="Body Text"/>
    <w:basedOn w:val="1"/>
    <w:uiPriority w:val="0"/>
    <w:pPr>
      <w:widowControl w:val="0"/>
    </w:pPr>
    <w:rPr>
      <w:rFonts w:ascii="仿宋_GB2312" w:hAnsi="宋体" w:eastAsia="仿宋_GB2312"/>
      <w:sz w:val="21"/>
      <w:szCs w:val="21"/>
    </w:rPr>
  </w:style>
  <w:style w:type="paragraph" w:styleId="5">
    <w:name w:val="Body Text Indent"/>
    <w:basedOn w:val="1"/>
    <w:uiPriority w:val="0"/>
    <w:pPr>
      <w:widowControl w:val="0"/>
      <w:spacing w:line="600" w:lineRule="exact"/>
      <w:ind w:firstLine="640" w:firstLineChars="200"/>
    </w:pPr>
    <w:rPr>
      <w:rFonts w:ascii="楷体_GB2312" w:hAnsi="Times New Roman" w:eastAsia="楷体_GB2312"/>
      <w:sz w:val="32"/>
      <w:szCs w:val="32"/>
    </w:rPr>
  </w:style>
  <w:style w:type="paragraph" w:styleId="6">
    <w:name w:val="Block Text"/>
    <w:basedOn w:val="1"/>
    <w:uiPriority w:val="0"/>
    <w:pPr>
      <w:widowControl w:val="0"/>
      <w:spacing w:line="380" w:lineRule="exact"/>
      <w:ind w:left="1168" w:leftChars="380" w:right="300" w:rightChars="100" w:hanging="28" w:hangingChars="10"/>
    </w:pPr>
    <w:rPr>
      <w:rFonts w:ascii="方正仿宋_GBK" w:hAnsi="Times New Roman" w:eastAsia="方正仿宋_GBK"/>
      <w:sz w:val="28"/>
      <w:szCs w:val="30"/>
    </w:rPr>
  </w:style>
  <w:style w:type="paragraph" w:styleId="7">
    <w:name w:val="Date"/>
    <w:basedOn w:val="1"/>
    <w:next w:val="1"/>
    <w:uiPriority w:val="0"/>
    <w:pPr>
      <w:widowControl w:val="0"/>
      <w:ind w:left="100" w:leftChars="2500"/>
    </w:pPr>
    <w:rPr>
      <w:rFonts w:ascii="Times New Roman" w:hAnsi="Times New Roman"/>
      <w:sz w:val="30"/>
      <w:szCs w:val="30"/>
    </w:rPr>
  </w:style>
  <w:style w:type="paragraph" w:styleId="8">
    <w:name w:val="Body Text Indent 2"/>
    <w:basedOn w:val="1"/>
    <w:uiPriority w:val="0"/>
    <w:pPr>
      <w:widowControl w:val="0"/>
      <w:spacing w:line="560" w:lineRule="exact"/>
      <w:ind w:left="1197" w:leftChars="93" w:hanging="918" w:hangingChars="328"/>
    </w:pPr>
    <w:rPr>
      <w:rFonts w:ascii="方正仿宋_GBK" w:hAnsi="Times New Roman" w:eastAsia="方正仿宋_GBK"/>
      <w:color w:val="000000"/>
      <w:sz w:val="28"/>
      <w:szCs w:val="28"/>
    </w:rPr>
  </w:style>
  <w:style w:type="paragraph" w:styleId="9">
    <w:name w:val="Balloon Text"/>
    <w:basedOn w:val="1"/>
    <w:semiHidden/>
    <w:uiPriority w:val="0"/>
    <w:pPr>
      <w:widowControl w:val="0"/>
    </w:pPr>
    <w:rPr>
      <w:rFonts w:ascii="Times New Roman" w:hAnsi="Times New Roman" w:eastAsia="仿宋_GB2312"/>
      <w:sz w:val="18"/>
      <w:szCs w:val="18"/>
    </w:rPr>
  </w:style>
  <w:style w:type="paragraph" w:styleId="10">
    <w:name w:val="footer"/>
    <w:basedOn w:val="1"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paragraph" w:styleId="11">
    <w:name w:val="header"/>
    <w:basedOn w:val="1"/>
    <w:uiPriority w:val="0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paragraph" w:styleId="12">
    <w:name w:val="Body Text Indent 3"/>
    <w:basedOn w:val="1"/>
    <w:uiPriority w:val="0"/>
    <w:pPr>
      <w:widowControl w:val="0"/>
      <w:spacing w:line="560" w:lineRule="exact"/>
      <w:ind w:left="1150" w:leftChars="94" w:hanging="868" w:hangingChars="310"/>
    </w:pPr>
    <w:rPr>
      <w:rFonts w:ascii="方正仿宋_GBK" w:hAnsi="Times New Roman" w:eastAsia="方正仿宋_GBK"/>
      <w:color w:val="000000"/>
      <w:sz w:val="28"/>
      <w:szCs w:val="28"/>
    </w:rPr>
  </w:style>
  <w:style w:type="paragraph" w:styleId="13">
    <w:name w:val="Body Text 2"/>
    <w:basedOn w:val="1"/>
    <w:uiPriority w:val="0"/>
    <w:pPr>
      <w:widowControl w:val="0"/>
      <w:autoSpaceDE w:val="0"/>
      <w:autoSpaceDN w:val="0"/>
      <w:adjustRightInd w:val="0"/>
      <w:spacing w:line="576" w:lineRule="exact"/>
    </w:pPr>
    <w:rPr>
      <w:rFonts w:ascii="Times New Roman" w:hAnsi="Times New Roman" w:eastAsia="方正仿宋_GBK"/>
      <w:sz w:val="31"/>
      <w:szCs w:val="32"/>
    </w:rPr>
  </w:style>
  <w:style w:type="paragraph" w:styleId="14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6">
    <w:name w:val="Table Grid"/>
    <w:basedOn w:val="15"/>
    <w:uiPriority w:val="0"/>
    <w:tblPr>
      <w:tblStyle w:val="1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Strong"/>
    <w:basedOn w:val="17"/>
    <w:uiPriority w:val="0"/>
    <w:rPr>
      <w:rFonts w:ascii="Times New Roman" w:hAnsi="Times New Roman" w:eastAsia="宋体" w:cs="Times New Roman"/>
      <w:b/>
      <w:bCs/>
    </w:rPr>
  </w:style>
  <w:style w:type="character" w:styleId="19">
    <w:name w:val="page number"/>
    <w:basedOn w:val="17"/>
    <w:uiPriority w:val="0"/>
    <w:rPr>
      <w:rFonts w:ascii="Times New Roman" w:hAnsi="Times New Roman" w:eastAsia="宋体" w:cs="Times New Roman"/>
    </w:rPr>
  </w:style>
  <w:style w:type="character" w:styleId="20">
    <w:name w:val="FollowedHyperlink"/>
    <w:basedOn w:val="17"/>
    <w:uiPriority w:val="0"/>
    <w:rPr>
      <w:rFonts w:ascii="Times New Roman" w:hAnsi="Times New Roman" w:eastAsia="宋体" w:cs="Times New Roman"/>
      <w:color w:val="800080"/>
      <w:u w:val="single"/>
    </w:rPr>
  </w:style>
  <w:style w:type="character" w:styleId="21">
    <w:name w:val="Emphasis"/>
    <w:basedOn w:val="17"/>
    <w:uiPriority w:val="0"/>
    <w:rPr>
      <w:i/>
    </w:rPr>
  </w:style>
  <w:style w:type="character" w:styleId="22">
    <w:name w:val="Hyperlink"/>
    <w:basedOn w:val="17"/>
    <w:uiPriority w:val="0"/>
    <w:rPr>
      <w:rFonts w:ascii="Times New Roman" w:hAnsi="Times New Roman" w:eastAsia="宋体" w:cs="Times New Roman"/>
      <w:color w:val="0000FF"/>
      <w:u w:val="single"/>
    </w:rPr>
  </w:style>
  <w:style w:type="paragraph" w:customStyle="1" w:styleId="23">
    <w:name w:val="fstdiv4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customStyle="1" w:styleId="24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方正小标宋_GBK" w:hAnsi="方正小标宋_GBK" w:eastAsia="方正小标宋_GBK" w:cs="Times New Roman"/>
      <w:color w:val="000000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527</Words>
  <Characters>562</Characters>
  <Lines>0</Lines>
  <Paragraphs>0</Paragraphs>
  <TotalTime>0</TotalTime>
  <ScaleCrop>false</ScaleCrop>
  <LinksUpToDate>false</LinksUpToDate>
  <CharactersWithSpaces>600</CharactersWithSpaces>
  <Application>WPS Office_11.8.2.10681_F1E327BC-269C-435d-A152-05C5408002CA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2022-01-31T22:55:00Z</dcterms:created>
  <dc:creator>濮薏郦</dc:creator>
  <cp:lastModifiedBy>greatwall</cp:lastModifiedBy>
  <cp:lastPrinted>2022-06-18T23:38:00Z</cp:lastPrinted>
  <dcterms:modified xsi:type="dcterms:W3CDTF">2022-07-20T15:40:08Z</dcterms:modified>
  <dc:title>附件1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2052-11.8.2.10681</vt:lpwstr>
  </property>
  <property fmtid="{D5CDD505-2E9C-101B-9397-08002B2CF9AE}" pid="3" name="ICV">
    <vt:lpwstr>2D05E9B09B2446E4864C51A852F643CF</vt:lpwstr>
  </property>
</Properties>
</file>