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rPr>
      </w:pPr>
      <w:r>
        <w:rPr>
          <w:rFonts w:hint="eastAsia" w:ascii="黑体" w:hAnsi="黑体" w:eastAsia="黑体" w:cs="黑体"/>
          <w:sz w:val="32"/>
          <w:szCs w:val="32"/>
        </w:rPr>
        <w:t>附件</w:t>
      </w:r>
    </w:p>
    <w:p>
      <w:pPr>
        <w:rPr>
          <w:rFonts w:hint="eastAsia"/>
        </w:rPr>
      </w:pPr>
    </w:p>
    <w:p>
      <w:pPr>
        <w:rPr>
          <w:rFonts w:hint="eastAsia"/>
        </w:rPr>
      </w:pPr>
    </w:p>
    <w:p>
      <w:pPr>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hint="eastAsia" w:ascii="方正小标宋_GBK" w:hAnsi="方正小标宋_GBK" w:eastAsia="方正小标宋_GBK" w:cs="方正小标宋_GBK"/>
          <w:sz w:val="44"/>
          <w:szCs w:val="44"/>
        </w:rPr>
      </w:pPr>
      <w:bookmarkStart w:id="0" w:name="_GoBack"/>
      <w:r>
        <w:rPr>
          <w:rFonts w:hint="eastAsia" w:ascii="方正小标宋_GBK" w:hAnsi="方正小标宋_GBK" w:eastAsia="方正小标宋_GBK" w:cs="方正小标宋_GBK"/>
          <w:sz w:val="44"/>
          <w:szCs w:val="44"/>
        </w:rPr>
        <w:t>鹤山市科工商务局 2020 年度行政许可实施和监督管理情况报告</w:t>
      </w:r>
    </w:p>
    <w:bookmarkEnd w:id="0"/>
    <w:p>
      <w:pPr>
        <w:rPr>
          <w:rFonts w:hint="eastAsia"/>
        </w:rPr>
      </w:pPr>
    </w:p>
    <w:p>
      <w:pPr>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根据《广东省行政许可监督管理条例》要求，现将我单位 2020 年度行政许可实施和监督管理情况报告如下：</w:t>
      </w:r>
    </w:p>
    <w:p>
      <w:pPr>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一、基本情况</w:t>
      </w:r>
    </w:p>
    <w:p>
      <w:pPr>
        <w:keepNext w:val="0"/>
        <w:keepLines w:val="0"/>
        <w:pageBreakBefore w:val="0"/>
        <w:widowControl w:val="0"/>
        <w:kinsoku/>
        <w:wordWrap/>
        <w:overflowPunct/>
        <w:topLinePunct w:val="0"/>
        <w:autoSpaceDE w:val="0"/>
        <w:autoSpaceDN w:val="0"/>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（一）现有事项及办理情况。</w:t>
      </w:r>
    </w:p>
    <w:p>
      <w:pPr>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2020 年，我局有行政许可事项 5 项，分别为外商投资企业和来料加工企业直通港澳自货自运厂车许可、企业申请取得从事拍卖业务许可的核准、拍卖企业分公司申请取得从事拍卖业务许可的核准、拍卖企业及分公司申请取得从事拍卖业务终止的核准以及拍卖企业及分公司从事拍卖业务变更核准，五项事项均已进驻广东省网上办事大厅，纳入江门市行政许可标准化目录。</w:t>
      </w:r>
    </w:p>
    <w:p>
      <w:pPr>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2020 年，全年行政许可共受理并予许可 0 宗。</w:t>
      </w:r>
    </w:p>
    <w:p>
      <w:pPr>
        <w:keepNext w:val="0"/>
        <w:keepLines w:val="0"/>
        <w:pageBreakBefore w:val="0"/>
        <w:widowControl w:val="0"/>
        <w:kinsoku/>
        <w:wordWrap/>
        <w:overflowPunct/>
        <w:topLinePunct w:val="0"/>
        <w:autoSpaceDE w:val="0"/>
        <w:autoSpaceDN w:val="0"/>
        <w:bidi w:val="0"/>
        <w:adjustRightInd/>
        <w:snapToGrid/>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（二）依法实施情况。</w:t>
      </w:r>
    </w:p>
    <w:p>
      <w:pPr>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无。</w:t>
      </w:r>
    </w:p>
    <w:p>
      <w:pPr>
        <w:keepNext w:val="0"/>
        <w:keepLines w:val="0"/>
        <w:pageBreakBefore w:val="0"/>
        <w:widowControl w:val="0"/>
        <w:kinsoku/>
        <w:wordWrap/>
        <w:overflowPunct/>
        <w:topLinePunct w:val="0"/>
        <w:autoSpaceDE w:val="0"/>
        <w:autoSpaceDN w:val="0"/>
        <w:bidi w:val="0"/>
        <w:adjustRightInd/>
        <w:snapToGrid/>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（三）公开公示情况。</w:t>
      </w:r>
    </w:p>
    <w:p>
      <w:pPr>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我局行政许可事项已进入广东政务服务网，行政许可事项目录与广东政务服务网公开公示目录内容一致。我局积极运用广东省行政执法信息平台和行政执法监督网络平台、政务网站等平台，向社会公开行政审批办事服务指南，公开公示行政许可事项的实施主体、依据、程序、期限、审批标准、申请材料等信息，在网上服务窗口可以随时查询整个办理过程和结果。</w:t>
      </w:r>
    </w:p>
    <w:p>
      <w:pPr>
        <w:keepNext w:val="0"/>
        <w:keepLines w:val="0"/>
        <w:pageBreakBefore w:val="0"/>
        <w:widowControl w:val="0"/>
        <w:kinsoku/>
        <w:wordWrap/>
        <w:overflowPunct/>
        <w:topLinePunct w:val="0"/>
        <w:autoSpaceDE w:val="0"/>
        <w:autoSpaceDN w:val="0"/>
        <w:bidi w:val="0"/>
        <w:adjustRightInd/>
        <w:snapToGrid/>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（四）监督管理情况。</w:t>
      </w:r>
    </w:p>
    <w:p>
      <w:pPr>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方面，积极推进事中事后监管，制定并公示了《鹤山市科工商务局2020年“双随机一公开”监管年度抽查计划和事项清单》，依托江门市市场智慧监管综合管理平台，依法组织人员开展行政检查，及时提出问题并整改。另一方面，在局网站设立咨询和投诉电话，通过来电、网络等有关渠道自觉接受群众举报监督。</w:t>
      </w:r>
    </w:p>
    <w:p>
      <w:pPr>
        <w:keepNext w:val="0"/>
        <w:keepLines w:val="0"/>
        <w:pageBreakBefore w:val="0"/>
        <w:widowControl w:val="0"/>
        <w:kinsoku/>
        <w:wordWrap/>
        <w:overflowPunct/>
        <w:topLinePunct w:val="0"/>
        <w:autoSpaceDE w:val="0"/>
        <w:autoSpaceDN w:val="0"/>
        <w:bidi w:val="0"/>
        <w:adjustRightInd/>
        <w:snapToGrid/>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（五）实施效果情况。</w:t>
      </w:r>
    </w:p>
    <w:p>
      <w:pPr>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无。</w:t>
      </w:r>
    </w:p>
    <w:p>
      <w:pPr>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hint="eastAsia" w:ascii="仿宋" w:hAnsi="仿宋" w:eastAsia="仿宋" w:cs="仿宋"/>
          <w:sz w:val="32"/>
          <w:szCs w:val="32"/>
        </w:rPr>
      </w:pPr>
      <w:r>
        <w:rPr>
          <w:rFonts w:hint="eastAsia" w:ascii="黑体" w:hAnsi="黑体" w:eastAsia="黑体" w:cs="黑体"/>
          <w:sz w:val="32"/>
          <w:szCs w:val="32"/>
        </w:rPr>
        <w:t>二、存在问题和困难</w:t>
      </w:r>
    </w:p>
    <w:p>
      <w:pPr>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无。</w:t>
      </w:r>
    </w:p>
    <w:p>
      <w:pPr>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三、下一步工作措施及有关建议</w:t>
      </w:r>
    </w:p>
    <w:p>
      <w:pPr>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（一）优化审批流程。按照“流程最优、时限最短、资料最少”的原则，依法对行政执法事项办理环节、办理时限、申报材料等要素进行了优化，有效提升审批效率和服务质量。</w:t>
      </w:r>
    </w:p>
    <w:p>
      <w:pPr>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（二）推进数字政府建设。积极推进“互联网+政务服务”“互联网+监管”，统筹协调，按照成熟一批推进一批的原则，积极推进电子证照的应用，推进行政执法事项网上受理，推进实现全程网办。</w:t>
      </w:r>
    </w:p>
    <w:p>
      <w:pPr>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（三）落实“双随机、一公开”制度。按照我局制定的双随机检查清单，加强事中事后监管，不定期开展对行政审批事项“回头看”检查。</w:t>
      </w:r>
    </w:p>
    <w:p/>
    <w:sectPr>
      <w:pgSz w:w="11910" w:h="16840"/>
      <w:pgMar w:top="1580" w:right="1440" w:bottom="1900" w:left="1600" w:header="0" w:footer="170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roman"/>
    <w:pitch w:val="default"/>
    <w:sig w:usb0="A00002FF" w:usb1="28CFFCFA" w:usb2="00000016" w:usb3="00000000" w:csb0="00100001"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A51ECB"/>
    <w:rsid w:val="7AA51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2">
    <w:name w:val="heading 1"/>
    <w:basedOn w:val="1"/>
    <w:next w:val="1"/>
    <w:qFormat/>
    <w:uiPriority w:val="1"/>
    <w:pPr>
      <w:ind w:left="310"/>
      <w:jc w:val="center"/>
      <w:outlineLvl w:val="1"/>
    </w:pPr>
    <w:rPr>
      <w:rFonts w:ascii="宋体" w:hAnsi="宋体" w:eastAsia="宋体" w:cs="宋体"/>
      <w:sz w:val="42"/>
      <w:szCs w:val="4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30"/>
      <w:szCs w:val="30"/>
    </w:rPr>
  </w:style>
  <w:style w:type="paragraph" w:styleId="6">
    <w:name w:val="List Paragraph"/>
    <w:basedOn w:val="1"/>
    <w:qFormat/>
    <w:uiPriority w:val="1"/>
    <w:pPr>
      <w:ind w:left="101" w:firstLine="600"/>
    </w:pPr>
    <w:rPr>
      <w:rFonts w:ascii="宋体" w:hAnsi="宋体" w:eastAsia="宋体" w:cs="宋体"/>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其他</Company>
  <Pages>1</Pages>
  <Words>0</Words>
  <Characters>0</Characters>
  <Lines>0</Lines>
  <Paragraphs>0</Paragraphs>
  <TotalTime>2</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2021-04-07T09:33:00Z</dcterms:created>
  <dc:creator>Manwah</dc:creator>
  <cp:lastModifiedBy>Manwah</cp:lastModifiedBy>
  <dcterms:modified xsi:type="dcterms:W3CDTF">2021-04-07T09:36:17Z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B358632A283A41C882D2DC56AD5AFD7A</vt:lpwstr>
  </property>
  <property fmtid="{D5CDD505-2E9C-101B-9397-08002B2CF9AE}" pid="4" name="KSOSaveFontToCloudKey">
    <vt:lpwstr>251001022_btnclosed</vt:lpwstr>
  </property>
</Properties>
</file>